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886ED" w14:textId="15C37CB4" w:rsidR="00D91945" w:rsidRPr="003007B5" w:rsidRDefault="00D91945" w:rsidP="00D91945">
      <w:pPr>
        <w:spacing w:after="113" w:line="276" w:lineRule="auto"/>
        <w:jc w:val="center"/>
        <w:rPr>
          <w:rFonts w:ascii="Arial" w:eastAsia="Arial" w:hAnsi="Arial" w:cs="Arial"/>
          <w:b/>
          <w:sz w:val="24"/>
          <w:szCs w:val="24"/>
          <w:lang w:val="kk-KZ"/>
        </w:rPr>
      </w:pPr>
      <w:r w:rsidRPr="003007B5">
        <w:rPr>
          <w:rFonts w:ascii="Arial" w:eastAsia="Arial" w:hAnsi="Arial" w:cs="Arial"/>
          <w:b/>
          <w:sz w:val="24"/>
          <w:szCs w:val="24"/>
          <w:lang w:val="kk-KZ"/>
        </w:rPr>
        <w:t xml:space="preserve">Академиялық адалдық </w:t>
      </w:r>
      <w:r w:rsidR="00AD4CCC" w:rsidRPr="003007B5">
        <w:rPr>
          <w:rFonts w:ascii="Arial" w:eastAsia="Arial" w:hAnsi="Arial" w:cs="Arial"/>
          <w:b/>
          <w:sz w:val="24"/>
          <w:szCs w:val="24"/>
          <w:lang w:val="kk-KZ"/>
        </w:rPr>
        <w:t>Лига</w:t>
      </w:r>
      <w:r w:rsidRPr="003007B5">
        <w:rPr>
          <w:rFonts w:ascii="Arial" w:eastAsia="Arial" w:hAnsi="Arial" w:cs="Arial"/>
          <w:b/>
          <w:sz w:val="24"/>
          <w:szCs w:val="24"/>
          <w:lang w:val="kk-KZ"/>
        </w:rPr>
        <w:t>сының жалпы қағидаттары негізінде кредиттік оқыту технологиясы бойынша оқу процесін ұйымдастыруды бағалау критерийлері</w:t>
      </w:r>
    </w:p>
    <w:p w14:paraId="098F05A6" w14:textId="18797EF8" w:rsidR="00D91945" w:rsidRPr="003007B5" w:rsidRDefault="00D91945" w:rsidP="00037213">
      <w:pP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 xml:space="preserve">Осы құжат ESG-2015 стандарттарына сәйкес кредиттік оқыту технологиясының стандарттарын жетілдіруге бағытталған, сондай-ақ ЖЖОКБҰ-ның </w:t>
      </w:r>
      <w:r w:rsidR="00AD4CCC" w:rsidRPr="003007B5">
        <w:rPr>
          <w:rFonts w:ascii="Arial" w:eastAsia="Arial" w:hAnsi="Arial" w:cs="Arial"/>
          <w:sz w:val="24"/>
          <w:szCs w:val="24"/>
          <w:lang w:val="kk-KZ"/>
        </w:rPr>
        <w:t>Лига</w:t>
      </w:r>
      <w:r w:rsidRPr="003007B5">
        <w:rPr>
          <w:rFonts w:ascii="Arial" w:eastAsia="Arial" w:hAnsi="Arial" w:cs="Arial"/>
          <w:sz w:val="24"/>
          <w:szCs w:val="24"/>
          <w:lang w:val="kk-KZ"/>
        </w:rPr>
        <w:t xml:space="preserve"> мүшелеріне қолданылатын кредиттік технология стандарттарына сәйкестік дәрежесін түсінуге бағытталған. Әр студент үшін транспарентті жеке оқыту тәсілін құру арқылы кредиттік оқыту технологиясын ұстану </w:t>
      </w:r>
      <w:r w:rsidR="00AD4CCC" w:rsidRPr="003007B5">
        <w:rPr>
          <w:rFonts w:ascii="Arial" w:eastAsia="Arial" w:hAnsi="Arial" w:cs="Arial"/>
          <w:sz w:val="24"/>
          <w:szCs w:val="24"/>
          <w:lang w:val="kk-KZ"/>
        </w:rPr>
        <w:t>Лига</w:t>
      </w:r>
      <w:r w:rsidRPr="003007B5">
        <w:rPr>
          <w:rFonts w:ascii="Arial" w:eastAsia="Arial" w:hAnsi="Arial" w:cs="Arial"/>
          <w:sz w:val="24"/>
          <w:szCs w:val="24"/>
          <w:lang w:val="kk-KZ"/>
        </w:rPr>
        <w:t xml:space="preserve"> мүшелерінің басымдығы болып табылады. Осы критерийлерді ұстану, сондай</w:t>
      </w:r>
      <w:r w:rsidRPr="003007B5">
        <w:rPr>
          <w:rFonts w:ascii="Arial" w:eastAsia="Arial" w:hAnsi="Arial" w:cs="Arial"/>
          <w:sz w:val="24"/>
          <w:szCs w:val="24"/>
          <w:lang w:val="kk-KZ"/>
        </w:rPr>
        <w:t>-</w:t>
      </w:r>
      <w:r w:rsidRPr="003007B5">
        <w:rPr>
          <w:rFonts w:ascii="Arial" w:eastAsia="Arial" w:hAnsi="Arial" w:cs="Arial"/>
          <w:sz w:val="24"/>
          <w:szCs w:val="24"/>
          <w:lang w:val="kk-KZ"/>
        </w:rPr>
        <w:t xml:space="preserve">ақ </w:t>
      </w:r>
      <w:r w:rsidRPr="003007B5">
        <w:rPr>
          <w:rFonts w:ascii="Arial" w:eastAsia="Arial" w:hAnsi="Arial" w:cs="Arial"/>
          <w:sz w:val="24"/>
          <w:szCs w:val="24"/>
          <w:lang w:val="kk-KZ"/>
        </w:rPr>
        <w:t>Ж</w:t>
      </w:r>
      <w:r w:rsidRPr="003007B5">
        <w:rPr>
          <w:rFonts w:ascii="Arial" w:eastAsia="Arial" w:hAnsi="Arial" w:cs="Arial"/>
          <w:sz w:val="24"/>
          <w:szCs w:val="24"/>
          <w:lang w:val="kk-KZ"/>
        </w:rPr>
        <w:t xml:space="preserve">оғары және (немесе) жоғары оқу орнынан кейінгі білім беру ұйымында (бұдан әрі-ЖЖОКБҰ) осы критерийлерге сәйкес келу үшін жазылған рәсімдердің болуы </w:t>
      </w:r>
      <w:r w:rsidR="00AD4CCC" w:rsidRPr="003007B5">
        <w:rPr>
          <w:rFonts w:ascii="Arial" w:eastAsia="Arial" w:hAnsi="Arial" w:cs="Arial"/>
          <w:sz w:val="24"/>
          <w:szCs w:val="24"/>
          <w:lang w:val="kk-KZ"/>
        </w:rPr>
        <w:t>Лига</w:t>
      </w:r>
      <w:r w:rsidRPr="003007B5">
        <w:rPr>
          <w:rFonts w:ascii="Arial" w:eastAsia="Arial" w:hAnsi="Arial" w:cs="Arial"/>
          <w:sz w:val="24"/>
          <w:szCs w:val="24"/>
          <w:lang w:val="kk-KZ"/>
        </w:rPr>
        <w:t xml:space="preserve"> мүшелері үшін маңызды практика болып табылады.</w:t>
      </w:r>
    </w:p>
    <w:p w14:paraId="45E83B29" w14:textId="52773BAC" w:rsidR="00037213" w:rsidRPr="003007B5" w:rsidRDefault="00037213" w:rsidP="00037213">
      <w:pP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 xml:space="preserve">** </w:t>
      </w:r>
      <w:r w:rsidR="00D91945" w:rsidRPr="003007B5">
        <w:rPr>
          <w:rFonts w:ascii="Arial" w:eastAsia="Arial" w:hAnsi="Arial" w:cs="Arial"/>
          <w:sz w:val="24"/>
          <w:szCs w:val="24"/>
          <w:lang w:val="kk-KZ"/>
        </w:rPr>
        <w:t xml:space="preserve">Критерийлерді жоғары білім беру ұйымдары мен беделді университеттердің тәжірибесі негізінде Академиялық адалдық </w:t>
      </w:r>
      <w:r w:rsidR="00AD4CCC" w:rsidRPr="003007B5">
        <w:rPr>
          <w:rFonts w:ascii="Arial" w:eastAsia="Arial" w:hAnsi="Arial" w:cs="Arial"/>
          <w:sz w:val="24"/>
          <w:szCs w:val="24"/>
          <w:lang w:val="kk-KZ"/>
        </w:rPr>
        <w:t>Лига</w:t>
      </w:r>
      <w:r w:rsidR="00D91945" w:rsidRPr="003007B5">
        <w:rPr>
          <w:rFonts w:ascii="Arial" w:eastAsia="Arial" w:hAnsi="Arial" w:cs="Arial"/>
          <w:sz w:val="24"/>
          <w:szCs w:val="24"/>
          <w:lang w:val="kk-KZ"/>
        </w:rPr>
        <w:t>сының жұмыс тобы әзірледі (</w:t>
      </w:r>
      <w:r w:rsidR="00D91945" w:rsidRPr="003007B5">
        <w:rPr>
          <w:rFonts w:ascii="Arial" w:eastAsia="Arial" w:hAnsi="Arial" w:cs="Arial"/>
          <w:b/>
          <w:bCs/>
          <w:i/>
          <w:iCs/>
          <w:sz w:val="24"/>
          <w:szCs w:val="24"/>
          <w:lang w:val="kk-KZ"/>
        </w:rPr>
        <w:t>библиографияны қараңыз</w:t>
      </w:r>
      <w:r w:rsidR="00D91945" w:rsidRPr="003007B5">
        <w:rPr>
          <w:rFonts w:ascii="Arial" w:eastAsia="Arial" w:hAnsi="Arial" w:cs="Arial"/>
          <w:sz w:val="24"/>
          <w:szCs w:val="24"/>
          <w:lang w:val="kk-KZ"/>
        </w:rPr>
        <w:t>).</w:t>
      </w:r>
    </w:p>
    <w:p w14:paraId="7932675D" w14:textId="77777777" w:rsidR="00037213" w:rsidRPr="003007B5" w:rsidRDefault="00037213" w:rsidP="00037213">
      <w:pPr>
        <w:spacing w:after="113" w:line="276" w:lineRule="auto"/>
        <w:jc w:val="both"/>
        <w:rPr>
          <w:rFonts w:ascii="Arial" w:eastAsia="Arial" w:hAnsi="Arial" w:cs="Arial"/>
          <w:sz w:val="24"/>
          <w:szCs w:val="24"/>
          <w:lang w:val="kk-KZ"/>
        </w:rPr>
      </w:pPr>
    </w:p>
    <w:p w14:paraId="1DB441F7" w14:textId="611274A6" w:rsidR="00037213" w:rsidRPr="003007B5" w:rsidRDefault="00D91945" w:rsidP="00037213">
      <w:pPr>
        <w:spacing w:after="113" w:line="276" w:lineRule="auto"/>
        <w:jc w:val="center"/>
        <w:rPr>
          <w:rFonts w:ascii="Arial" w:eastAsia="Arial" w:hAnsi="Arial" w:cs="Arial"/>
          <w:sz w:val="24"/>
          <w:szCs w:val="24"/>
          <w:lang w:val="kk-KZ"/>
        </w:rPr>
      </w:pPr>
      <w:r w:rsidRPr="003007B5">
        <w:rPr>
          <w:rFonts w:ascii="Arial" w:eastAsia="Arial" w:hAnsi="Arial" w:cs="Arial"/>
          <w:b/>
          <w:sz w:val="24"/>
          <w:szCs w:val="24"/>
          <w:lang w:val="kk-KZ"/>
        </w:rPr>
        <w:t>Негізгі ережелер</w:t>
      </w:r>
    </w:p>
    <w:p w14:paraId="48CCB706" w14:textId="77777777" w:rsidR="00D91945" w:rsidRPr="003007B5" w:rsidRDefault="00D91945" w:rsidP="00D91945">
      <w:pP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1.</w:t>
      </w:r>
      <w:r w:rsidRPr="003007B5">
        <w:rPr>
          <w:rFonts w:ascii="Arial" w:eastAsia="Arial" w:hAnsi="Arial" w:cs="Arial"/>
          <w:sz w:val="24"/>
          <w:szCs w:val="24"/>
          <w:lang w:val="kk-KZ"/>
        </w:rPr>
        <w:tab/>
        <w:t>ЖЖОКБҰ толыққанды кредиттік технологияны және оның барлық элементтерін жеке оқу траекториясын алу және жақсарту мақсатында студенттің жеке мүмкіндіктерін ашу қағидатын ұстанады.</w:t>
      </w:r>
    </w:p>
    <w:p w14:paraId="70963AA4" w14:textId="77777777" w:rsidR="00D91945" w:rsidRPr="003007B5" w:rsidRDefault="00D91945" w:rsidP="00D91945">
      <w:pP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2.</w:t>
      </w:r>
      <w:r w:rsidRPr="003007B5">
        <w:rPr>
          <w:rFonts w:ascii="Arial" w:eastAsia="Arial" w:hAnsi="Arial" w:cs="Arial"/>
          <w:sz w:val="24"/>
          <w:szCs w:val="24"/>
          <w:lang w:val="kk-KZ"/>
        </w:rPr>
        <w:tab/>
        <w:t>ЖЖОКБҰ таңдалған жеке траектория шеңберінде студентті қолдауға және оқытуға бағытталған жоғары академиялық стандарттарды ұстанады.</w:t>
      </w:r>
    </w:p>
    <w:p w14:paraId="64C1B534" w14:textId="4E54A122" w:rsidR="00037213" w:rsidRPr="003007B5" w:rsidRDefault="00D91945" w:rsidP="00D91945">
      <w:pPr>
        <w:spacing w:after="113" w:line="276" w:lineRule="auto"/>
        <w:jc w:val="both"/>
        <w:rPr>
          <w:rFonts w:ascii="Arial" w:eastAsia="Arial" w:hAnsi="Arial" w:cs="Arial"/>
          <w:b/>
          <w:sz w:val="24"/>
          <w:szCs w:val="24"/>
          <w:lang w:val="kk-KZ"/>
        </w:rPr>
      </w:pPr>
      <w:r w:rsidRPr="003007B5">
        <w:rPr>
          <w:rFonts w:ascii="Arial" w:eastAsia="Arial" w:hAnsi="Arial" w:cs="Arial"/>
          <w:sz w:val="24"/>
          <w:szCs w:val="24"/>
          <w:lang w:val="kk-KZ"/>
        </w:rPr>
        <w:t>3.</w:t>
      </w:r>
      <w:r w:rsidRPr="003007B5">
        <w:rPr>
          <w:rFonts w:ascii="Arial" w:eastAsia="Arial" w:hAnsi="Arial" w:cs="Arial"/>
          <w:sz w:val="24"/>
          <w:szCs w:val="24"/>
          <w:lang w:val="kk-KZ"/>
        </w:rPr>
        <w:tab/>
        <w:t>ЖЖОКБҰ қол жеткізудің тетіктері мен тетіктерін дербес таңдауға және бағалаудың негізгі ережелері мен критерийлерін ұстануға құқылы.</w:t>
      </w:r>
    </w:p>
    <w:p w14:paraId="765189D8" w14:textId="7F44F254" w:rsidR="00037213" w:rsidRPr="003007B5" w:rsidRDefault="00037213" w:rsidP="00037213">
      <w:pPr>
        <w:spacing w:after="113" w:line="276" w:lineRule="auto"/>
        <w:jc w:val="center"/>
        <w:rPr>
          <w:rFonts w:ascii="Arial" w:hAnsi="Arial" w:cs="Arial"/>
          <w:sz w:val="24"/>
          <w:szCs w:val="24"/>
          <w:lang w:val="kk-KZ"/>
        </w:rPr>
      </w:pPr>
      <w:r w:rsidRPr="003007B5">
        <w:rPr>
          <w:rFonts w:ascii="Arial" w:eastAsia="Arial" w:hAnsi="Arial" w:cs="Arial"/>
          <w:b/>
          <w:sz w:val="24"/>
          <w:szCs w:val="24"/>
          <w:lang w:val="kk-KZ"/>
        </w:rPr>
        <w:t>Критери</w:t>
      </w:r>
      <w:r w:rsidR="00D91945" w:rsidRPr="003007B5">
        <w:rPr>
          <w:rFonts w:ascii="Arial" w:eastAsia="Arial" w:hAnsi="Arial" w:cs="Arial"/>
          <w:b/>
          <w:sz w:val="24"/>
          <w:szCs w:val="24"/>
          <w:lang w:val="kk-KZ"/>
        </w:rPr>
        <w:t>йлер</w:t>
      </w:r>
      <w:r w:rsidRPr="003007B5">
        <w:rPr>
          <w:rFonts w:ascii="Arial" w:eastAsia="Arial" w:hAnsi="Arial" w:cs="Arial"/>
          <w:b/>
          <w:sz w:val="24"/>
          <w:szCs w:val="24"/>
          <w:lang w:val="kk-KZ"/>
        </w:rPr>
        <w:t>:</w:t>
      </w:r>
    </w:p>
    <w:p w14:paraId="0F6D477C" w14:textId="4A21A927" w:rsidR="00C9230C" w:rsidRPr="003007B5" w:rsidRDefault="00C9230C" w:rsidP="00C9230C">
      <w:pPr>
        <w:numPr>
          <w:ilvl w:val="0"/>
          <w:numId w:val="11"/>
        </w:numPr>
        <w:spacing w:after="113" w:line="276" w:lineRule="auto"/>
        <w:jc w:val="both"/>
        <w:rPr>
          <w:rFonts w:ascii="Arial" w:eastAsia="Arial" w:hAnsi="Arial" w:cs="Arial"/>
          <w:sz w:val="24"/>
          <w:szCs w:val="24"/>
          <w:lang w:val="kk-KZ"/>
        </w:rPr>
      </w:pPr>
      <w:r w:rsidRPr="003007B5">
        <w:rPr>
          <w:rFonts w:ascii="Arial" w:eastAsia="Arial" w:hAnsi="Arial" w:cs="Arial"/>
          <w:b/>
          <w:sz w:val="24"/>
          <w:szCs w:val="24"/>
          <w:lang w:val="kk-KZ"/>
        </w:rPr>
        <w:t>Студентке бағдарланған оқыту</w:t>
      </w:r>
      <w:r w:rsidRPr="003007B5">
        <w:rPr>
          <w:rFonts w:ascii="Arial" w:eastAsia="Arial" w:hAnsi="Arial" w:cs="Arial"/>
          <w:b/>
          <w:sz w:val="24"/>
          <w:szCs w:val="24"/>
          <w:lang w:val="kk-KZ"/>
        </w:rPr>
        <w:t xml:space="preserve"> </w:t>
      </w:r>
      <w:r w:rsidR="00037213" w:rsidRPr="003007B5">
        <w:rPr>
          <w:rFonts w:ascii="Arial" w:eastAsia="Arial" w:hAnsi="Arial" w:cs="Arial"/>
          <w:b/>
          <w:sz w:val="24"/>
          <w:szCs w:val="24"/>
          <w:lang w:val="kk-KZ"/>
        </w:rPr>
        <w:t xml:space="preserve">– </w:t>
      </w:r>
      <w:r w:rsidRPr="003007B5">
        <w:rPr>
          <w:rFonts w:ascii="Arial" w:eastAsia="Arial" w:hAnsi="Arial" w:cs="Arial"/>
          <w:sz w:val="24"/>
          <w:szCs w:val="24"/>
          <w:lang w:val="kk-KZ"/>
        </w:rPr>
        <w:t>студенттің академиялық процеске оның барлық сатыларында қатысу дәрежесі: пәнді таныстыру және таңдау, силлабусты тіркеу, таныстыру және оған қол қою, пәннен келіспеу және шығару, студенттермен бағалау нәтижесін және оны шығару критерийлерін талқылау, студенттің курстың күтілетін нәтижелерін және бақылау нысандарын, сондай-ақ оның күтілетін нәтижелерге қол жеткізу дәрежесін түсінуі.</w:t>
      </w:r>
    </w:p>
    <w:p w14:paraId="282D0CB0" w14:textId="77777777" w:rsidR="002B5AF0" w:rsidRPr="003007B5" w:rsidRDefault="002B5AF0" w:rsidP="00037213">
      <w:pPr>
        <w:numPr>
          <w:ilvl w:val="0"/>
          <w:numId w:val="2"/>
        </w:numPr>
        <w:pBdr>
          <w:top w:val="nil"/>
          <w:left w:val="nil"/>
          <w:bottom w:val="nil"/>
          <w:right w:val="nil"/>
          <w:between w:val="nil"/>
        </w:pBdr>
        <w:spacing w:after="0" w:line="276" w:lineRule="auto"/>
        <w:ind w:left="851"/>
        <w:jc w:val="both"/>
        <w:rPr>
          <w:rFonts w:ascii="Arial" w:hAnsi="Arial" w:cs="Arial"/>
          <w:sz w:val="24"/>
          <w:szCs w:val="24"/>
          <w:lang w:val="kk-KZ"/>
        </w:rPr>
      </w:pPr>
      <w:r w:rsidRPr="003007B5">
        <w:rPr>
          <w:rFonts w:ascii="Arial" w:eastAsia="Arial" w:hAnsi="Arial" w:cs="Arial"/>
          <w:sz w:val="24"/>
          <w:szCs w:val="24"/>
          <w:lang w:val="kk-KZ"/>
        </w:rPr>
        <w:t>ЖЖОКБҰ-ның курстың толтырылуы бойынша талаптарына сәйкес келген жағдайда курспен қысқаша танысу мүмкіндігімен студентті еркін дербес тіркеу рәсімі.</w:t>
      </w:r>
    </w:p>
    <w:p w14:paraId="17CAEF7B" w14:textId="0EB58FD1" w:rsidR="002B5AF0" w:rsidRPr="003007B5" w:rsidRDefault="002B5AF0" w:rsidP="00037213">
      <w:pPr>
        <w:numPr>
          <w:ilvl w:val="0"/>
          <w:numId w:val="2"/>
        </w:numPr>
        <w:pBdr>
          <w:top w:val="nil"/>
          <w:left w:val="nil"/>
          <w:bottom w:val="nil"/>
          <w:right w:val="nil"/>
          <w:between w:val="nil"/>
        </w:pBdr>
        <w:spacing w:after="0" w:line="276" w:lineRule="auto"/>
        <w:ind w:left="851"/>
        <w:jc w:val="both"/>
        <w:rPr>
          <w:rFonts w:ascii="Arial" w:hAnsi="Arial" w:cs="Arial"/>
          <w:sz w:val="24"/>
          <w:szCs w:val="24"/>
          <w:lang w:val="kk-KZ"/>
        </w:rPr>
      </w:pPr>
      <w:r w:rsidRPr="003007B5">
        <w:rPr>
          <w:rFonts w:ascii="Arial" w:eastAsia="Arial" w:hAnsi="Arial" w:cs="Arial"/>
          <w:sz w:val="24"/>
          <w:szCs w:val="24"/>
          <w:lang w:val="kk-KZ"/>
        </w:rPr>
        <w:lastRenderedPageBreak/>
        <w:t>Білгілі бір</w:t>
      </w:r>
      <w:r w:rsidRPr="003007B5">
        <w:rPr>
          <w:rFonts w:ascii="Arial" w:eastAsia="Arial" w:hAnsi="Arial" w:cs="Arial"/>
          <w:sz w:val="24"/>
          <w:szCs w:val="24"/>
          <w:lang w:val="kk-KZ"/>
        </w:rPr>
        <w:t xml:space="preserve"> курсқа </w:t>
      </w:r>
      <w:r w:rsidRPr="003007B5">
        <w:rPr>
          <w:rFonts w:ascii="Arial" w:eastAsia="Arial" w:hAnsi="Arial" w:cs="Arial"/>
          <w:sz w:val="24"/>
          <w:szCs w:val="24"/>
          <w:lang w:val="kk-KZ"/>
        </w:rPr>
        <w:t>б</w:t>
      </w:r>
      <w:r w:rsidRPr="003007B5">
        <w:rPr>
          <w:rFonts w:ascii="Arial" w:eastAsia="Arial" w:hAnsi="Arial" w:cs="Arial"/>
          <w:sz w:val="24"/>
          <w:szCs w:val="24"/>
          <w:lang w:val="kk-KZ"/>
        </w:rPr>
        <w:t>ос орындар</w:t>
      </w:r>
      <w:r w:rsidRPr="003007B5">
        <w:rPr>
          <w:rFonts w:ascii="Arial" w:eastAsia="Arial" w:hAnsi="Arial" w:cs="Arial"/>
          <w:sz w:val="24"/>
          <w:szCs w:val="24"/>
          <w:lang w:val="kk-KZ"/>
        </w:rPr>
        <w:t xml:space="preserve"> (вакансиялар)</w:t>
      </w:r>
      <w:r w:rsidRPr="003007B5">
        <w:rPr>
          <w:rFonts w:ascii="Arial" w:eastAsia="Arial" w:hAnsi="Arial" w:cs="Arial"/>
          <w:sz w:val="24"/>
          <w:szCs w:val="24"/>
          <w:lang w:val="kk-KZ"/>
        </w:rPr>
        <w:t xml:space="preserve"> болған жағдайда оқытушыны</w:t>
      </w:r>
      <w:r w:rsidRPr="003007B5">
        <w:rPr>
          <w:rFonts w:ascii="Arial" w:eastAsia="Arial" w:hAnsi="Arial" w:cs="Arial"/>
          <w:sz w:val="24"/>
          <w:szCs w:val="24"/>
          <w:lang w:val="kk-KZ"/>
        </w:rPr>
        <w:t xml:space="preserve"> және сабақ кестесін</w:t>
      </w:r>
      <w:r w:rsidRPr="003007B5">
        <w:rPr>
          <w:rFonts w:ascii="Arial" w:eastAsia="Arial" w:hAnsi="Arial" w:cs="Arial"/>
          <w:sz w:val="24"/>
          <w:szCs w:val="24"/>
          <w:lang w:val="kk-KZ"/>
        </w:rPr>
        <w:t xml:space="preserve"> еркін таңдау рәсімі</w:t>
      </w:r>
      <w:r w:rsidRPr="003007B5">
        <w:rPr>
          <w:rFonts w:ascii="Arial" w:eastAsia="Arial" w:hAnsi="Arial" w:cs="Arial"/>
          <w:sz w:val="24"/>
          <w:szCs w:val="24"/>
          <w:lang w:val="kk-KZ"/>
        </w:rPr>
        <w:t>.</w:t>
      </w:r>
    </w:p>
    <w:p w14:paraId="27F530C3" w14:textId="77777777" w:rsidR="002B5AF0" w:rsidRPr="003007B5" w:rsidRDefault="002B5AF0" w:rsidP="00037213">
      <w:pPr>
        <w:numPr>
          <w:ilvl w:val="0"/>
          <w:numId w:val="2"/>
        </w:numPr>
        <w:pBdr>
          <w:top w:val="nil"/>
          <w:left w:val="nil"/>
          <w:bottom w:val="nil"/>
          <w:right w:val="nil"/>
          <w:between w:val="nil"/>
        </w:pBdr>
        <w:spacing w:after="0" w:line="276" w:lineRule="auto"/>
        <w:ind w:left="851"/>
        <w:jc w:val="both"/>
        <w:rPr>
          <w:rFonts w:ascii="Arial" w:hAnsi="Arial" w:cs="Arial"/>
          <w:sz w:val="24"/>
          <w:szCs w:val="24"/>
          <w:lang w:val="kk-KZ"/>
        </w:rPr>
      </w:pPr>
      <w:r w:rsidRPr="003007B5">
        <w:rPr>
          <w:rFonts w:ascii="Arial" w:eastAsia="Arial" w:hAnsi="Arial" w:cs="Arial"/>
          <w:sz w:val="24"/>
          <w:szCs w:val="24"/>
          <w:lang w:val="kk-KZ"/>
        </w:rPr>
        <w:t>Пәннің силлабусымен және курстың көрсетілген академиялық және академиялық емес талаптарымен танысу, келіспеу кезінде келісім берген кезде силлабусқа одан әрі қол қою және оны алып тастау рәсімдері.</w:t>
      </w:r>
    </w:p>
    <w:p w14:paraId="0CEDCE1F" w14:textId="77777777" w:rsidR="002B5AF0" w:rsidRPr="003007B5" w:rsidRDefault="002B5AF0" w:rsidP="00037213">
      <w:pPr>
        <w:numPr>
          <w:ilvl w:val="0"/>
          <w:numId w:val="2"/>
        </w:numPr>
        <w:pBdr>
          <w:top w:val="nil"/>
          <w:left w:val="nil"/>
          <w:bottom w:val="nil"/>
          <w:right w:val="nil"/>
          <w:between w:val="nil"/>
        </w:pBdr>
        <w:spacing w:after="113" w:line="276" w:lineRule="auto"/>
        <w:ind w:left="851"/>
        <w:jc w:val="both"/>
        <w:rPr>
          <w:rFonts w:ascii="Arial" w:hAnsi="Arial" w:cs="Arial"/>
          <w:sz w:val="24"/>
          <w:szCs w:val="24"/>
          <w:lang w:val="kk-KZ"/>
        </w:rPr>
      </w:pPr>
      <w:r w:rsidRPr="003007B5">
        <w:rPr>
          <w:rFonts w:ascii="Arial" w:eastAsia="Arial" w:hAnsi="Arial" w:cs="Arial"/>
          <w:sz w:val="24"/>
          <w:szCs w:val="24"/>
          <w:lang w:val="kk-KZ"/>
        </w:rPr>
        <w:t>Курстың силлабусында жазылған және студентке алдын ала ұсынылған қалыптастырушы және жиынтық бағалаудың, аралық және қорытынды бақылауларды бағалаудың нақты критерийлері. Студенттің алдын ала танысусыз пайдаланылған бағалау критерийлерін даулау мүмкіндігі.</w:t>
      </w:r>
    </w:p>
    <w:p w14:paraId="67235048" w14:textId="68EF0456" w:rsidR="002B5AF0" w:rsidRPr="003007B5" w:rsidRDefault="002B5AF0" w:rsidP="002B5AF0">
      <w:pPr>
        <w:numPr>
          <w:ilvl w:val="0"/>
          <w:numId w:val="2"/>
        </w:numPr>
        <w:pBdr>
          <w:top w:val="nil"/>
          <w:left w:val="nil"/>
          <w:bottom w:val="nil"/>
          <w:right w:val="nil"/>
          <w:between w:val="nil"/>
        </w:pBdr>
        <w:spacing w:after="113" w:line="276" w:lineRule="auto"/>
        <w:ind w:left="851"/>
        <w:jc w:val="both"/>
        <w:rPr>
          <w:rFonts w:ascii="Arial" w:hAnsi="Arial" w:cs="Arial"/>
          <w:sz w:val="24"/>
          <w:szCs w:val="24"/>
          <w:lang w:val="kk-KZ"/>
        </w:rPr>
      </w:pPr>
      <w:r w:rsidRPr="003007B5">
        <w:rPr>
          <w:rFonts w:ascii="Arial" w:eastAsia="Arial" w:hAnsi="Arial" w:cs="Arial"/>
          <w:sz w:val="24"/>
          <w:szCs w:val="24"/>
          <w:lang w:val="kk-KZ"/>
        </w:rPr>
        <w:t xml:space="preserve">Курстың күтілетін нәтижелерін (learning outcomes), бағалау </w:t>
      </w:r>
      <w:r w:rsidR="003007B5">
        <w:rPr>
          <w:rFonts w:ascii="Arial" w:eastAsia="Arial" w:hAnsi="Arial" w:cs="Arial"/>
          <w:sz w:val="24"/>
          <w:szCs w:val="24"/>
          <w:lang w:val="kk-KZ"/>
        </w:rPr>
        <w:t>критерийлерін</w:t>
      </w:r>
      <w:r w:rsidRPr="003007B5">
        <w:rPr>
          <w:rFonts w:ascii="Arial" w:eastAsia="Arial" w:hAnsi="Arial" w:cs="Arial"/>
          <w:sz w:val="24"/>
          <w:szCs w:val="24"/>
          <w:lang w:val="kk-KZ"/>
        </w:rPr>
        <w:t xml:space="preserve"> (evaluation criteria), курстың академиялық және академиялық емес саясатын және студенттің шарттармен келісуі туралы қолын қамтитын курс силлабусының көлемі мен мазмұны.</w:t>
      </w:r>
    </w:p>
    <w:p w14:paraId="058BCD49" w14:textId="77777777" w:rsidR="002B5AF0" w:rsidRPr="003007B5" w:rsidRDefault="002B5AF0" w:rsidP="002B5AF0">
      <w:pPr>
        <w:numPr>
          <w:ilvl w:val="0"/>
          <w:numId w:val="2"/>
        </w:numPr>
        <w:pBdr>
          <w:top w:val="nil"/>
          <w:left w:val="nil"/>
          <w:bottom w:val="nil"/>
          <w:right w:val="nil"/>
          <w:between w:val="nil"/>
        </w:pBdr>
        <w:spacing w:after="113" w:line="276" w:lineRule="auto"/>
        <w:ind w:left="851"/>
        <w:jc w:val="both"/>
        <w:rPr>
          <w:rFonts w:ascii="Arial" w:hAnsi="Arial" w:cs="Arial"/>
          <w:sz w:val="24"/>
          <w:szCs w:val="24"/>
          <w:lang w:val="kk-KZ"/>
        </w:rPr>
      </w:pPr>
      <w:r w:rsidRPr="003007B5">
        <w:rPr>
          <w:rFonts w:ascii="Arial" w:eastAsia="Arial" w:hAnsi="Arial" w:cs="Arial"/>
          <w:sz w:val="24"/>
          <w:szCs w:val="24"/>
          <w:lang w:val="kk-KZ"/>
        </w:rPr>
        <w:t>Қашықтықтан оқыту технологияларын қолдану кезінде студенттермен жұмыс істеудің интерактивті элементтерін қамтамасыз ету, олардың білім беру процесіне қашықтықтан белсенді қатысуын қамтамасыз ету.</w:t>
      </w:r>
    </w:p>
    <w:p w14:paraId="0F76CC1E" w14:textId="53E944E0" w:rsidR="00037213" w:rsidRPr="003007B5" w:rsidRDefault="002B5AF0" w:rsidP="002B5AF0">
      <w:pPr>
        <w:pStyle w:val="a3"/>
        <w:numPr>
          <w:ilvl w:val="0"/>
          <w:numId w:val="11"/>
        </w:numPr>
        <w:pBdr>
          <w:top w:val="nil"/>
          <w:left w:val="nil"/>
          <w:bottom w:val="nil"/>
          <w:right w:val="nil"/>
          <w:between w:val="nil"/>
        </w:pBdr>
        <w:spacing w:after="113" w:line="276" w:lineRule="auto"/>
        <w:jc w:val="both"/>
        <w:rPr>
          <w:rFonts w:ascii="Arial" w:hAnsi="Arial" w:cs="Arial"/>
          <w:sz w:val="24"/>
          <w:szCs w:val="24"/>
          <w:lang w:val="kk-KZ"/>
        </w:rPr>
      </w:pPr>
      <w:r w:rsidRPr="003007B5">
        <w:rPr>
          <w:rFonts w:ascii="Arial" w:eastAsia="Arial" w:hAnsi="Arial" w:cs="Arial"/>
          <w:b/>
          <w:sz w:val="24"/>
          <w:szCs w:val="24"/>
          <w:lang w:val="kk-KZ"/>
        </w:rPr>
        <w:t>Студенттерді қабылдау және тіркеу</w:t>
      </w:r>
      <w:r w:rsidR="00037213" w:rsidRPr="003007B5">
        <w:rPr>
          <w:rFonts w:ascii="Arial" w:eastAsia="Arial" w:hAnsi="Arial" w:cs="Arial"/>
          <w:b/>
          <w:sz w:val="24"/>
          <w:szCs w:val="24"/>
          <w:lang w:val="kk-KZ"/>
        </w:rPr>
        <w:t xml:space="preserve"> - </w:t>
      </w:r>
      <w:r w:rsidRPr="003007B5">
        <w:rPr>
          <w:rFonts w:ascii="Arial" w:eastAsia="Arial" w:hAnsi="Arial" w:cs="Arial"/>
          <w:sz w:val="24"/>
          <w:szCs w:val="24"/>
          <w:lang w:val="kk-KZ"/>
        </w:rPr>
        <w:t>студенттің оқуға электронды, жеке қатысуын, пәндерді еркін таңдауды және қалаған пәндерге тіркеуді, сонымен қатар оқытушы мен кестені таңдауды ұйымдастыру.</w:t>
      </w:r>
    </w:p>
    <w:p w14:paraId="5B815FE8" w14:textId="3513B315" w:rsidR="00037213" w:rsidRPr="003007B5" w:rsidRDefault="002B5AF0" w:rsidP="00037213">
      <w:pPr>
        <w:numPr>
          <w:ilvl w:val="0"/>
          <w:numId w:val="3"/>
        </w:numPr>
        <w:pBdr>
          <w:top w:val="nil"/>
          <w:left w:val="nil"/>
          <w:bottom w:val="nil"/>
          <w:right w:val="nil"/>
          <w:between w:val="nil"/>
        </w:pBdr>
        <w:spacing w:after="0"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Студенттерді қабылдау мен тіркеудің электрондық рәсімдерінің электрондық қамтамасыз етілу дәрежесі және көлемі.</w:t>
      </w:r>
    </w:p>
    <w:p w14:paraId="0D492C4A" w14:textId="6ACA6BB9" w:rsidR="00037213" w:rsidRPr="003007B5" w:rsidRDefault="002B5AF0" w:rsidP="00037213">
      <w:pPr>
        <w:numPr>
          <w:ilvl w:val="0"/>
          <w:numId w:val="3"/>
        </w:numPr>
        <w:pBdr>
          <w:top w:val="nil"/>
          <w:left w:val="nil"/>
          <w:bottom w:val="nil"/>
          <w:right w:val="nil"/>
          <w:between w:val="nil"/>
        </w:pBdr>
        <w:spacing w:after="0"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Тіркелген студенттер саны бойынша ЖЖОКБҰ талаптарын сақтай отырып, пәнді жеке таңдау кезінде студенттің еркіндік дәрежесі.</w:t>
      </w:r>
    </w:p>
    <w:p w14:paraId="4B34C0AA" w14:textId="39B3AAC0" w:rsidR="00037213" w:rsidRPr="003007B5" w:rsidRDefault="002B5AF0" w:rsidP="00037213">
      <w:pPr>
        <w:numPr>
          <w:ilvl w:val="0"/>
          <w:numId w:val="3"/>
        </w:numPr>
        <w:pBdr>
          <w:top w:val="nil"/>
          <w:left w:val="nil"/>
          <w:bottom w:val="nil"/>
          <w:right w:val="nil"/>
          <w:between w:val="nil"/>
        </w:pBdr>
        <w:spacing w:after="0"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ЖЖОКБҰ-ның тіркелген студенттер саны бойынша талаптарын сақтай отырып, оқытушыны жеке таңдау кезіндегі студенттің еркіндік дәрежесі.</w:t>
      </w:r>
    </w:p>
    <w:p w14:paraId="41D012EC" w14:textId="493F69CF" w:rsidR="00037213" w:rsidRPr="003007B5" w:rsidRDefault="002B5AF0" w:rsidP="00037213">
      <w:pPr>
        <w:numPr>
          <w:ilvl w:val="0"/>
          <w:numId w:val="3"/>
        </w:numPr>
        <w:pBdr>
          <w:top w:val="nil"/>
          <w:left w:val="nil"/>
          <w:bottom w:val="nil"/>
          <w:right w:val="nil"/>
          <w:between w:val="nil"/>
        </w:pBdr>
        <w:spacing w:after="113"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Т</w:t>
      </w:r>
      <w:r w:rsidRPr="003007B5">
        <w:rPr>
          <w:rFonts w:ascii="Arial" w:eastAsia="Arial" w:hAnsi="Arial" w:cs="Arial"/>
          <w:sz w:val="24"/>
          <w:szCs w:val="24"/>
          <w:lang w:val="kk-KZ"/>
        </w:rPr>
        <w:t>аңдаған оқытушының кестесі шеңберінде жеке кесте таңдау кезіндегі студенттің еркіндік дәрежесі.</w:t>
      </w:r>
    </w:p>
    <w:p w14:paraId="6672C76A" w14:textId="2AFF4F6E" w:rsidR="00037213" w:rsidRPr="003007B5" w:rsidRDefault="002B5AF0" w:rsidP="00037213">
      <w:pPr>
        <w:numPr>
          <w:ilvl w:val="0"/>
          <w:numId w:val="11"/>
        </w:numPr>
        <w:spacing w:after="113" w:line="276" w:lineRule="auto"/>
        <w:ind w:left="426"/>
        <w:jc w:val="both"/>
        <w:rPr>
          <w:rFonts w:ascii="Arial" w:hAnsi="Arial" w:cs="Arial"/>
          <w:sz w:val="24"/>
          <w:szCs w:val="24"/>
          <w:lang w:val="kk-KZ"/>
        </w:rPr>
      </w:pPr>
      <w:r w:rsidRPr="003007B5">
        <w:rPr>
          <w:rFonts w:ascii="Arial" w:eastAsia="Arial" w:hAnsi="Arial" w:cs="Arial"/>
          <w:b/>
          <w:sz w:val="24"/>
          <w:szCs w:val="24"/>
          <w:lang w:val="kk-KZ"/>
        </w:rPr>
        <w:t>Оқыту жүйелілігін тану</w:t>
      </w:r>
      <w:r w:rsidR="00037213" w:rsidRPr="003007B5">
        <w:rPr>
          <w:rFonts w:ascii="Arial" w:eastAsia="Arial" w:hAnsi="Arial" w:cs="Arial"/>
          <w:b/>
          <w:sz w:val="24"/>
          <w:szCs w:val="24"/>
          <w:lang w:val="kk-KZ"/>
        </w:rPr>
        <w:t xml:space="preserve"> –</w:t>
      </w:r>
      <w:r w:rsidRPr="003007B5">
        <w:rPr>
          <w:rFonts w:ascii="Arial" w:eastAsia="Arial" w:hAnsi="Arial" w:cs="Arial"/>
          <w:sz w:val="24"/>
          <w:szCs w:val="24"/>
          <w:lang w:val="kk-KZ"/>
        </w:rPr>
        <w:t>студентті оқытудың дәйекті және үздіксіз траекториясын қамтамасыз ететін басқа білім беру ұйымдарының верификацияланатын транскриптері немесе Қоршағанортамині сертификаттары негізінде студенттің кредиттерін қайта есептеу тетігі мен рәсімі. ЖЖОКБҰ қайта есептеу үшін бағалаудың төменгі шегіне өз шектеулерін қоя алады.</w:t>
      </w:r>
    </w:p>
    <w:p w14:paraId="5C592BFC" w14:textId="33D828DE" w:rsidR="00037213" w:rsidRPr="003007B5" w:rsidRDefault="002B5AF0" w:rsidP="00037213">
      <w:pPr>
        <w:numPr>
          <w:ilvl w:val="0"/>
          <w:numId w:val="4"/>
        </w:numPr>
        <w:pBdr>
          <w:top w:val="nil"/>
          <w:left w:val="nil"/>
          <w:bottom w:val="nil"/>
          <w:right w:val="nil"/>
          <w:between w:val="nil"/>
        </w:pBdr>
        <w:spacing w:after="0" w:line="276" w:lineRule="auto"/>
        <w:ind w:left="851"/>
        <w:jc w:val="both"/>
        <w:rPr>
          <w:rFonts w:ascii="Arial" w:hAnsi="Arial" w:cs="Arial"/>
          <w:sz w:val="24"/>
          <w:szCs w:val="24"/>
          <w:lang w:val="kk-KZ"/>
        </w:rPr>
      </w:pPr>
      <w:r w:rsidRPr="003007B5">
        <w:rPr>
          <w:rFonts w:ascii="Arial" w:eastAsia="Arial" w:hAnsi="Arial" w:cs="Arial"/>
          <w:sz w:val="24"/>
          <w:szCs w:val="24"/>
          <w:lang w:val="kk-KZ"/>
        </w:rPr>
        <w:t>Студенттің басқа ЖЖОКБҰ-ның верификацияланған транскриптерін ұсынуы бойынша кредиттерді қайта есептеудің кестелік рәсімдері мен тетіктері.</w:t>
      </w:r>
    </w:p>
    <w:p w14:paraId="63F953C3" w14:textId="2741CD70" w:rsidR="00037213" w:rsidRPr="003007B5" w:rsidRDefault="002B5AF0" w:rsidP="00037213">
      <w:pPr>
        <w:numPr>
          <w:ilvl w:val="0"/>
          <w:numId w:val="4"/>
        </w:numPr>
        <w:pBdr>
          <w:top w:val="nil"/>
          <w:left w:val="nil"/>
          <w:bottom w:val="nil"/>
          <w:right w:val="nil"/>
          <w:between w:val="nil"/>
        </w:pBdr>
        <w:spacing w:after="0" w:line="276" w:lineRule="auto"/>
        <w:ind w:left="851"/>
        <w:jc w:val="both"/>
        <w:rPr>
          <w:rFonts w:ascii="Arial" w:hAnsi="Arial" w:cs="Arial"/>
          <w:sz w:val="24"/>
          <w:szCs w:val="24"/>
          <w:lang w:val="kk-KZ"/>
        </w:rPr>
      </w:pPr>
      <w:r w:rsidRPr="003007B5">
        <w:rPr>
          <w:rFonts w:ascii="Arial" w:eastAsia="Arial" w:hAnsi="Arial" w:cs="Arial"/>
          <w:sz w:val="24"/>
          <w:szCs w:val="24"/>
          <w:lang w:val="kk-KZ"/>
        </w:rPr>
        <w:lastRenderedPageBreak/>
        <w:t>Студенттің орта және орта кәсіптік оқу орындарының верификацияланған транскриптерін ұсынуы бойынша кредиттерді қайта есептеудің кестелік рәсімдері мен тетіктері.</w:t>
      </w:r>
    </w:p>
    <w:p w14:paraId="6F0F4B49" w14:textId="074031E4" w:rsidR="00037213" w:rsidRPr="003007B5" w:rsidRDefault="002B5AF0" w:rsidP="00037213">
      <w:pPr>
        <w:numPr>
          <w:ilvl w:val="0"/>
          <w:numId w:val="4"/>
        </w:numPr>
        <w:pBdr>
          <w:top w:val="nil"/>
          <w:left w:val="nil"/>
          <w:bottom w:val="nil"/>
          <w:right w:val="nil"/>
          <w:between w:val="nil"/>
        </w:pBdr>
        <w:spacing w:after="113" w:line="276" w:lineRule="auto"/>
        <w:ind w:left="851"/>
        <w:jc w:val="both"/>
        <w:rPr>
          <w:rFonts w:ascii="Arial" w:hAnsi="Arial" w:cs="Arial"/>
          <w:sz w:val="24"/>
          <w:szCs w:val="24"/>
          <w:lang w:val="kk-KZ"/>
        </w:rPr>
      </w:pPr>
      <w:r w:rsidRPr="003007B5">
        <w:rPr>
          <w:rFonts w:ascii="Arial" w:eastAsia="Arial" w:hAnsi="Arial" w:cs="Arial"/>
          <w:sz w:val="24"/>
          <w:szCs w:val="24"/>
          <w:lang w:val="kk-KZ"/>
        </w:rPr>
        <w:t xml:space="preserve">Студенттің ұсынылған ЖЖОКБҰ тізімінен </w:t>
      </w:r>
      <w:r w:rsidR="00947E0E" w:rsidRPr="003007B5">
        <w:rPr>
          <w:rFonts w:ascii="Arial" w:eastAsia="Arial" w:hAnsi="Arial" w:cs="Arial"/>
          <w:sz w:val="24"/>
          <w:szCs w:val="24"/>
          <w:lang w:val="kk-KZ"/>
        </w:rPr>
        <w:t>МООС</w:t>
      </w:r>
      <w:r w:rsidRPr="003007B5">
        <w:rPr>
          <w:rFonts w:ascii="Arial" w:eastAsia="Arial" w:hAnsi="Arial" w:cs="Arial"/>
          <w:sz w:val="24"/>
          <w:szCs w:val="24"/>
          <w:lang w:val="kk-KZ"/>
        </w:rPr>
        <w:t xml:space="preserve"> верификацияланған сертификаттарын ұсынуы бойынша кредиттерді қайта есептеу тетігі.</w:t>
      </w:r>
    </w:p>
    <w:p w14:paraId="6BD2C522" w14:textId="4EE7E578" w:rsidR="00037213" w:rsidRPr="003007B5" w:rsidRDefault="00947E0E" w:rsidP="00037213">
      <w:pPr>
        <w:numPr>
          <w:ilvl w:val="0"/>
          <w:numId w:val="4"/>
        </w:numPr>
        <w:pBdr>
          <w:top w:val="nil"/>
          <w:left w:val="nil"/>
          <w:bottom w:val="nil"/>
          <w:right w:val="nil"/>
          <w:between w:val="nil"/>
        </w:pBdr>
        <w:spacing w:after="113" w:line="276" w:lineRule="auto"/>
        <w:ind w:left="851"/>
        <w:jc w:val="both"/>
        <w:rPr>
          <w:rFonts w:ascii="Arial" w:hAnsi="Arial" w:cs="Arial"/>
          <w:sz w:val="24"/>
          <w:szCs w:val="24"/>
          <w:lang w:val="kk-KZ"/>
        </w:rPr>
      </w:pPr>
      <w:r w:rsidRPr="003007B5">
        <w:rPr>
          <w:rFonts w:ascii="Arial" w:eastAsia="Arial" w:hAnsi="Arial" w:cs="Arial"/>
          <w:sz w:val="24"/>
          <w:szCs w:val="24"/>
          <w:lang w:val="kk-KZ"/>
        </w:rPr>
        <w:t>С</w:t>
      </w:r>
      <w:r w:rsidRPr="003007B5">
        <w:rPr>
          <w:rFonts w:ascii="Arial" w:eastAsia="Arial" w:hAnsi="Arial" w:cs="Arial"/>
          <w:sz w:val="24"/>
          <w:szCs w:val="24"/>
          <w:lang w:val="kk-KZ"/>
        </w:rPr>
        <w:t>туденттердің MOOC сапалы курстарын әлемде жалпыға танылған платформаларда өтуін ынталандыру.</w:t>
      </w:r>
    </w:p>
    <w:p w14:paraId="38C81B7E" w14:textId="370FD273" w:rsidR="00037213" w:rsidRPr="003007B5" w:rsidRDefault="00947E0E" w:rsidP="00037213">
      <w:pPr>
        <w:numPr>
          <w:ilvl w:val="0"/>
          <w:numId w:val="11"/>
        </w:numPr>
        <w:spacing w:after="113" w:line="276" w:lineRule="auto"/>
        <w:ind w:left="426"/>
        <w:jc w:val="both"/>
        <w:rPr>
          <w:rFonts w:ascii="Arial" w:eastAsia="Arial" w:hAnsi="Arial" w:cs="Arial"/>
          <w:sz w:val="24"/>
          <w:szCs w:val="24"/>
          <w:lang w:val="kk-KZ"/>
        </w:rPr>
      </w:pPr>
      <w:r w:rsidRPr="003007B5">
        <w:rPr>
          <w:rFonts w:ascii="Arial" w:eastAsia="Arial" w:hAnsi="Arial" w:cs="Arial"/>
          <w:b/>
          <w:sz w:val="24"/>
          <w:szCs w:val="24"/>
          <w:lang w:val="kk-KZ"/>
        </w:rPr>
        <w:t>Инфрақұрылымдық ресурстарды қолдау</w:t>
      </w:r>
      <w:r w:rsidR="00037213" w:rsidRPr="003007B5">
        <w:rPr>
          <w:rFonts w:ascii="Arial" w:eastAsia="Arial" w:hAnsi="Arial" w:cs="Arial"/>
          <w:b/>
          <w:sz w:val="24"/>
          <w:szCs w:val="24"/>
          <w:lang w:val="kk-KZ"/>
        </w:rPr>
        <w:t xml:space="preserve"> - </w:t>
      </w:r>
      <w:r w:rsidRPr="003007B5">
        <w:rPr>
          <w:rFonts w:ascii="Arial" w:eastAsia="Arial" w:hAnsi="Arial" w:cs="Arial"/>
          <w:sz w:val="24"/>
          <w:szCs w:val="24"/>
          <w:lang w:val="kk-KZ"/>
        </w:rPr>
        <w:t>білім алушыларға білім беру, әлеуметтік және психологиялық қолдау көрсету, студенттерге электронды байланыс арналарымен, студенттерге арналған оқу материалдарымен және құжаттармен қамтамасыз ету.</w:t>
      </w:r>
    </w:p>
    <w:p w14:paraId="6FD380DF" w14:textId="212414F2" w:rsidR="00037213" w:rsidRPr="003007B5" w:rsidRDefault="00947E0E" w:rsidP="00037213">
      <w:pPr>
        <w:numPr>
          <w:ilvl w:val="0"/>
          <w:numId w:val="5"/>
        </w:numPr>
        <w:pBdr>
          <w:top w:val="nil"/>
          <w:left w:val="nil"/>
          <w:bottom w:val="nil"/>
          <w:right w:val="nil"/>
          <w:between w:val="nil"/>
        </w:pBdr>
        <w:spacing w:after="0"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Оқуға немесе ғылымға неғұрлым терең қызығушылық танытатын және керісінше академиялық қиындықтары немесе уәжі төмен білім алушыларды білім беру арқылы қолдау.</w:t>
      </w:r>
    </w:p>
    <w:p w14:paraId="00444CC7" w14:textId="77777777" w:rsidR="00947E0E" w:rsidRPr="003007B5" w:rsidRDefault="00947E0E" w:rsidP="00947E0E">
      <w:pPr>
        <w:pBdr>
          <w:top w:val="nil"/>
          <w:left w:val="nil"/>
          <w:bottom w:val="nil"/>
          <w:right w:val="nil"/>
          <w:between w:val="nil"/>
        </w:pBdr>
        <w:spacing w:after="0" w:line="276" w:lineRule="auto"/>
        <w:ind w:left="851"/>
        <w:jc w:val="both"/>
        <w:rPr>
          <w:rFonts w:ascii="Arial" w:eastAsia="Arial" w:hAnsi="Arial" w:cs="Arial"/>
          <w:sz w:val="24"/>
          <w:szCs w:val="24"/>
          <w:lang w:val="kk-KZ"/>
        </w:rPr>
      </w:pPr>
    </w:p>
    <w:p w14:paraId="2003CB86" w14:textId="513FD5C6" w:rsidR="00037213" w:rsidRPr="003007B5" w:rsidRDefault="00947E0E" w:rsidP="00037213">
      <w:pPr>
        <w:numPr>
          <w:ilvl w:val="0"/>
          <w:numId w:val="5"/>
        </w:numPr>
        <w:pBdr>
          <w:top w:val="nil"/>
          <w:left w:val="nil"/>
          <w:bottom w:val="nil"/>
          <w:right w:val="nil"/>
          <w:between w:val="nil"/>
        </w:pBdr>
        <w:spacing w:after="0"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Білім алушыларға әлеуметтік және психологиялық қолдау көрсету тетіктері, өндірістік практиканы ұйымдастыруға және жұмыс іздеуге көмек көрсету, студенттердің оқуы, жұмысы мен жеке өмірі арасындағы теңгерімді қолдау.</w:t>
      </w:r>
    </w:p>
    <w:p w14:paraId="18F8F036" w14:textId="77777777" w:rsidR="00947E0E" w:rsidRPr="003007B5" w:rsidRDefault="00947E0E" w:rsidP="00947E0E">
      <w:pPr>
        <w:pBdr>
          <w:top w:val="nil"/>
          <w:left w:val="nil"/>
          <w:bottom w:val="nil"/>
          <w:right w:val="nil"/>
          <w:between w:val="nil"/>
        </w:pBdr>
        <w:spacing w:after="0" w:line="276" w:lineRule="auto"/>
        <w:ind w:left="851"/>
        <w:jc w:val="both"/>
        <w:rPr>
          <w:rFonts w:ascii="Arial" w:eastAsia="Arial" w:hAnsi="Arial" w:cs="Arial"/>
          <w:sz w:val="24"/>
          <w:szCs w:val="24"/>
          <w:lang w:val="kk-KZ"/>
        </w:rPr>
      </w:pPr>
    </w:p>
    <w:p w14:paraId="4CA3855B" w14:textId="77FE4518" w:rsidR="00037213" w:rsidRPr="003007B5" w:rsidRDefault="00947E0E" w:rsidP="00037213">
      <w:pPr>
        <w:numPr>
          <w:ilvl w:val="0"/>
          <w:numId w:val="5"/>
        </w:numPr>
        <w:pBdr>
          <w:top w:val="nil"/>
          <w:left w:val="nil"/>
          <w:bottom w:val="nil"/>
          <w:right w:val="nil"/>
          <w:between w:val="nil"/>
        </w:pBdr>
        <w:spacing w:after="0"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Көлемі мен ұйымдастырылуы, негізінен электронды, студенттердің оқу материалдарына, инфрақұрылымға, студенттің академиялық және академиялық емес өміріне әсер ететін құжаттарға қол жетімділігі.</w:t>
      </w:r>
    </w:p>
    <w:p w14:paraId="70ADA92B" w14:textId="77777777" w:rsidR="00947E0E" w:rsidRPr="003007B5" w:rsidRDefault="00947E0E" w:rsidP="00947E0E">
      <w:pPr>
        <w:pBdr>
          <w:top w:val="nil"/>
          <w:left w:val="nil"/>
          <w:bottom w:val="nil"/>
          <w:right w:val="nil"/>
          <w:between w:val="nil"/>
        </w:pBdr>
        <w:spacing w:after="0" w:line="276" w:lineRule="auto"/>
        <w:ind w:left="851"/>
        <w:jc w:val="both"/>
        <w:rPr>
          <w:rFonts w:ascii="Arial" w:eastAsia="Arial" w:hAnsi="Arial" w:cs="Arial"/>
          <w:sz w:val="24"/>
          <w:szCs w:val="24"/>
          <w:lang w:val="kk-KZ"/>
        </w:rPr>
      </w:pPr>
    </w:p>
    <w:p w14:paraId="383FDE4F" w14:textId="0DC01361" w:rsidR="00037213" w:rsidRPr="003007B5" w:rsidRDefault="00947E0E" w:rsidP="00037213">
      <w:pPr>
        <w:numPr>
          <w:ilvl w:val="0"/>
          <w:numId w:val="5"/>
        </w:numPr>
        <w:pBdr>
          <w:top w:val="nil"/>
          <w:left w:val="nil"/>
          <w:bottom w:val="nil"/>
          <w:right w:val="nil"/>
          <w:between w:val="nil"/>
        </w:pBdr>
        <w:spacing w:after="113"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Интернетке жоғары жылдамдықты сымсыз қол жеткізу бойынша ЖЖОКБҰ</w:t>
      </w:r>
      <w:r w:rsidRPr="003007B5">
        <w:rPr>
          <w:rFonts w:ascii="Arial" w:eastAsia="Arial" w:hAnsi="Arial" w:cs="Arial"/>
          <w:sz w:val="24"/>
          <w:szCs w:val="24"/>
          <w:lang w:val="kk-KZ"/>
        </w:rPr>
        <w:t xml:space="preserve"> </w:t>
      </w:r>
      <w:r w:rsidRPr="003007B5">
        <w:rPr>
          <w:rFonts w:ascii="Arial" w:eastAsia="Arial" w:hAnsi="Arial" w:cs="Arial"/>
          <w:sz w:val="24"/>
          <w:szCs w:val="24"/>
          <w:lang w:val="kk-KZ"/>
        </w:rPr>
        <w:t>инфрақұрылымын жабу пайызы.</w:t>
      </w:r>
    </w:p>
    <w:p w14:paraId="0A75A726" w14:textId="7DB3DBA5" w:rsidR="00037213" w:rsidRPr="003007B5" w:rsidRDefault="00947E0E" w:rsidP="00037213">
      <w:pPr>
        <w:numPr>
          <w:ilvl w:val="0"/>
          <w:numId w:val="5"/>
        </w:numPr>
        <w:pBdr>
          <w:top w:val="nil"/>
          <w:left w:val="nil"/>
          <w:bottom w:val="nil"/>
          <w:right w:val="nil"/>
          <w:between w:val="nil"/>
        </w:pBdr>
        <w:spacing w:after="113"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Қашықтықтан білім беру технологияларын қолдана отырып, сапалы оқытуды қамтамасыз ету және студенттер мен оқытушыларға үнемі техникалық қолдау көрсету үшін ЖЖОКБҰ LMS пайдалану.</w:t>
      </w:r>
    </w:p>
    <w:p w14:paraId="054045E8" w14:textId="73EA5ACE" w:rsidR="00037213" w:rsidRPr="003007B5" w:rsidRDefault="00947E0E" w:rsidP="00037213">
      <w:pPr>
        <w:numPr>
          <w:ilvl w:val="0"/>
          <w:numId w:val="11"/>
        </w:numPr>
        <w:spacing w:after="113" w:line="276" w:lineRule="auto"/>
        <w:ind w:left="426"/>
        <w:jc w:val="both"/>
        <w:rPr>
          <w:rFonts w:ascii="Arial" w:hAnsi="Arial" w:cs="Arial"/>
          <w:sz w:val="24"/>
          <w:szCs w:val="24"/>
          <w:lang w:val="kk-KZ"/>
        </w:rPr>
      </w:pPr>
      <w:r w:rsidRPr="003007B5">
        <w:rPr>
          <w:rFonts w:ascii="Arial" w:eastAsia="Arial" w:hAnsi="Arial" w:cs="Arial"/>
          <w:b/>
          <w:sz w:val="24"/>
          <w:szCs w:val="24"/>
          <w:lang w:val="kk-KZ"/>
        </w:rPr>
        <w:t>Білім беру бағдарламаларын бекіту, мониторингілеу және жаңарту жүйесі (бұдан әрі-ББ)</w:t>
      </w:r>
      <w:r w:rsidR="00037213" w:rsidRPr="003007B5">
        <w:rPr>
          <w:rFonts w:ascii="Arial" w:eastAsia="Arial" w:hAnsi="Arial" w:cs="Arial"/>
          <w:b/>
          <w:sz w:val="24"/>
          <w:szCs w:val="24"/>
          <w:lang w:val="kk-KZ"/>
        </w:rPr>
        <w:t xml:space="preserve"> -</w:t>
      </w:r>
      <w:r w:rsidRPr="003007B5">
        <w:rPr>
          <w:rFonts w:ascii="Arial" w:eastAsia="Arial" w:hAnsi="Arial" w:cs="Arial"/>
          <w:sz w:val="24"/>
          <w:szCs w:val="24"/>
          <w:lang w:val="kk-KZ"/>
        </w:rPr>
        <w:t xml:space="preserve"> </w:t>
      </w:r>
      <w:r w:rsidRPr="003007B5">
        <w:rPr>
          <w:rFonts w:ascii="Arial" w:eastAsia="Arial" w:hAnsi="Arial" w:cs="Arial"/>
          <w:color w:val="000000" w:themeColor="text1"/>
          <w:sz w:val="24"/>
          <w:szCs w:val="24"/>
          <w:lang w:val="kk-KZ"/>
        </w:rPr>
        <w:t>ББ оқу жоспарларын қарау, бекіту және жаңарту тетігі мен рәсімдері және жоспарлар мазмұнының логикалық бірізділігі.</w:t>
      </w:r>
    </w:p>
    <w:p w14:paraId="0DC69A85" w14:textId="1A194052" w:rsidR="00037213" w:rsidRPr="003007B5" w:rsidRDefault="00947E0E" w:rsidP="00037213">
      <w:pPr>
        <w:numPr>
          <w:ilvl w:val="0"/>
          <w:numId w:val="6"/>
        </w:numPr>
        <w:pBdr>
          <w:top w:val="nil"/>
          <w:left w:val="nil"/>
          <w:bottom w:val="nil"/>
          <w:right w:val="nil"/>
          <w:between w:val="nil"/>
        </w:pBdr>
        <w:spacing w:after="0"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Білім беру бағдарламаларын әзірлеу, бекіту және іске асыру рәсімдерінің болуы, университеттің құрылымдық бөлімшелері мен осы процестерге тартылған жұмыс берушілердің өзара іс-қимыл жасау сипаты.</w:t>
      </w:r>
    </w:p>
    <w:p w14:paraId="17228D80" w14:textId="0DF733B0" w:rsidR="00037213" w:rsidRPr="003007B5" w:rsidRDefault="00947E0E" w:rsidP="00037213">
      <w:pPr>
        <w:numPr>
          <w:ilvl w:val="0"/>
          <w:numId w:val="6"/>
        </w:numPr>
        <w:pBdr>
          <w:top w:val="nil"/>
          <w:left w:val="nil"/>
          <w:bottom w:val="nil"/>
          <w:right w:val="nil"/>
          <w:between w:val="nil"/>
        </w:pBdr>
        <w:spacing w:after="0"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lastRenderedPageBreak/>
        <w:t>Пәндердің логикалық бірізділігі және қоғамның өзгеретін талаптарын көрсететін жоғары мектептің негізгі білімдерінің, зияткерлік және академиялық дағдыларының тепе-теңдігін, сондай-ақ пәндерді таңдау еркіндігінің көлемін ескере отырып, оқу жоспарлары мен оқу бағдарламаларында үздік әлемдік практикалардың көрінісі.</w:t>
      </w:r>
    </w:p>
    <w:p w14:paraId="5F86AB0C" w14:textId="77777777" w:rsidR="00947E0E" w:rsidRPr="003007B5" w:rsidRDefault="00947E0E" w:rsidP="00947E0E">
      <w:pPr>
        <w:pBdr>
          <w:top w:val="nil"/>
          <w:left w:val="nil"/>
          <w:bottom w:val="nil"/>
          <w:right w:val="nil"/>
          <w:between w:val="nil"/>
        </w:pBdr>
        <w:spacing w:after="0" w:line="276" w:lineRule="auto"/>
        <w:ind w:left="851"/>
        <w:jc w:val="both"/>
        <w:rPr>
          <w:rFonts w:ascii="Arial" w:eastAsia="Arial" w:hAnsi="Arial" w:cs="Arial"/>
          <w:sz w:val="24"/>
          <w:szCs w:val="24"/>
          <w:lang w:val="kk-KZ"/>
        </w:rPr>
      </w:pPr>
    </w:p>
    <w:p w14:paraId="239B2F49" w14:textId="6D1D239E" w:rsidR="00037213" w:rsidRPr="003007B5" w:rsidRDefault="00947E0E" w:rsidP="00037213">
      <w:pPr>
        <w:numPr>
          <w:ilvl w:val="0"/>
          <w:numId w:val="6"/>
        </w:numPr>
        <w:pBdr>
          <w:top w:val="nil"/>
          <w:left w:val="nil"/>
          <w:bottom w:val="nil"/>
          <w:right w:val="nil"/>
          <w:between w:val="nil"/>
        </w:pBdr>
        <w:spacing w:after="113"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Корпоративтік және/немесе индустриялық секторлармен өзара іс-қимыл тетігін ескере отырып, білім беру бағдарламаларында кәсіби қызметке дайындалу үшін компоненттердің болуы.</w:t>
      </w:r>
    </w:p>
    <w:p w14:paraId="1371B773" w14:textId="717983C8" w:rsidR="00037213" w:rsidRPr="003007B5" w:rsidRDefault="00947E0E" w:rsidP="00037213">
      <w:pPr>
        <w:numPr>
          <w:ilvl w:val="0"/>
          <w:numId w:val="11"/>
        </w:numPr>
        <w:spacing w:after="113" w:line="276" w:lineRule="auto"/>
        <w:ind w:left="426"/>
        <w:jc w:val="both"/>
        <w:rPr>
          <w:rFonts w:ascii="Arial" w:hAnsi="Arial" w:cs="Arial"/>
          <w:sz w:val="24"/>
          <w:szCs w:val="24"/>
          <w:lang w:val="kk-KZ"/>
        </w:rPr>
      </w:pPr>
      <w:r w:rsidRPr="003007B5">
        <w:rPr>
          <w:rFonts w:ascii="Arial" w:eastAsia="Arial" w:hAnsi="Arial" w:cs="Arial"/>
          <w:b/>
          <w:sz w:val="24"/>
          <w:szCs w:val="24"/>
          <w:lang w:val="kk-KZ"/>
        </w:rPr>
        <w:t>Профессор-оқытушылар құрамы</w:t>
      </w:r>
      <w:r w:rsidR="00037213" w:rsidRPr="003007B5">
        <w:rPr>
          <w:rFonts w:ascii="Arial" w:eastAsia="Arial" w:hAnsi="Arial" w:cs="Arial"/>
          <w:b/>
          <w:sz w:val="24"/>
          <w:szCs w:val="24"/>
          <w:lang w:val="kk-KZ"/>
        </w:rPr>
        <w:t xml:space="preserve"> – </w:t>
      </w:r>
      <w:r w:rsidRPr="003007B5">
        <w:rPr>
          <w:rFonts w:ascii="Arial" w:eastAsia="Arial" w:hAnsi="Arial" w:cs="Arial"/>
          <w:sz w:val="24"/>
          <w:szCs w:val="24"/>
          <w:lang w:val="kk-KZ"/>
        </w:rPr>
        <w:t>профессорлық-оқытушылық құрамды ашық және бәсекеге қабілетті тарту және академиялық этиканы бақылау тетіктері.</w:t>
      </w:r>
    </w:p>
    <w:p w14:paraId="0C976589" w14:textId="024D1D30" w:rsidR="00037213" w:rsidRPr="003007B5" w:rsidRDefault="00947E0E" w:rsidP="00037213">
      <w:pPr>
        <w:numPr>
          <w:ilvl w:val="0"/>
          <w:numId w:val="7"/>
        </w:numPr>
        <w:pBdr>
          <w:top w:val="nil"/>
          <w:left w:val="nil"/>
          <w:bottom w:val="nil"/>
          <w:right w:val="nil"/>
          <w:between w:val="nil"/>
        </w:pBdr>
        <w:spacing w:after="0" w:line="276" w:lineRule="auto"/>
        <w:ind w:left="851" w:hanging="425"/>
        <w:jc w:val="both"/>
        <w:rPr>
          <w:rFonts w:ascii="Arial" w:eastAsia="Arial" w:hAnsi="Arial" w:cs="Arial"/>
          <w:sz w:val="24"/>
          <w:szCs w:val="24"/>
          <w:lang w:val="kk-KZ"/>
        </w:rPr>
      </w:pPr>
      <w:r w:rsidRPr="003007B5">
        <w:rPr>
          <w:rFonts w:ascii="Arial" w:eastAsia="Arial" w:hAnsi="Arial" w:cs="Arial"/>
          <w:sz w:val="24"/>
          <w:szCs w:val="24"/>
          <w:lang w:val="kk-KZ"/>
        </w:rPr>
        <w:t>Профессор-оқытушылар құрамын конкурстық конкурстық іріктеудің рәсімдері мен тетігі және рәсімдердің транспаренттілігін бақылау.</w:t>
      </w:r>
    </w:p>
    <w:p w14:paraId="271EF96F" w14:textId="4CED8874" w:rsidR="00037213" w:rsidRPr="003007B5" w:rsidRDefault="00947E0E" w:rsidP="00037213">
      <w:pPr>
        <w:numPr>
          <w:ilvl w:val="0"/>
          <w:numId w:val="7"/>
        </w:numPr>
        <w:pBdr>
          <w:top w:val="nil"/>
          <w:left w:val="nil"/>
          <w:bottom w:val="nil"/>
          <w:right w:val="nil"/>
          <w:between w:val="nil"/>
        </w:pBdr>
        <w:spacing w:after="0" w:line="276" w:lineRule="auto"/>
        <w:ind w:left="851" w:hanging="425"/>
        <w:jc w:val="both"/>
        <w:rPr>
          <w:rFonts w:ascii="Arial" w:eastAsia="Arial" w:hAnsi="Arial" w:cs="Arial"/>
          <w:sz w:val="24"/>
          <w:szCs w:val="24"/>
          <w:lang w:val="kk-KZ"/>
        </w:rPr>
      </w:pPr>
      <w:r w:rsidRPr="003007B5">
        <w:rPr>
          <w:rFonts w:ascii="Arial" w:eastAsia="Arial" w:hAnsi="Arial" w:cs="Arial"/>
          <w:sz w:val="24"/>
          <w:szCs w:val="24"/>
          <w:lang w:val="kk-KZ"/>
        </w:rPr>
        <w:t>Оқытушылардың үйлесімді дамыған түлекті дайындаудағы олардың рөлін түсінуі және бұл түсінікті курстың күтілетін нәтижелерінде силлабустың бөлігі ретінде, оның ішінде қашықтықтан оқыту кезінде көрсету дәрежесі.</w:t>
      </w:r>
    </w:p>
    <w:p w14:paraId="6A53E7CC" w14:textId="25386C5F" w:rsidR="00037213" w:rsidRPr="003007B5" w:rsidRDefault="00947E0E" w:rsidP="00037213">
      <w:pPr>
        <w:numPr>
          <w:ilvl w:val="0"/>
          <w:numId w:val="7"/>
        </w:numPr>
        <w:pBdr>
          <w:top w:val="nil"/>
          <w:left w:val="nil"/>
          <w:bottom w:val="nil"/>
          <w:right w:val="nil"/>
          <w:between w:val="nil"/>
        </w:pBdr>
        <w:spacing w:after="0" w:line="276" w:lineRule="auto"/>
        <w:ind w:left="851" w:hanging="425"/>
        <w:jc w:val="both"/>
        <w:rPr>
          <w:rFonts w:ascii="Arial" w:eastAsia="Arial" w:hAnsi="Arial" w:cs="Arial"/>
          <w:sz w:val="24"/>
          <w:szCs w:val="24"/>
          <w:lang w:val="kk-KZ"/>
        </w:rPr>
      </w:pPr>
      <w:r w:rsidRPr="003007B5">
        <w:rPr>
          <w:rFonts w:ascii="Arial" w:eastAsia="Arial" w:hAnsi="Arial" w:cs="Arial"/>
          <w:sz w:val="24"/>
          <w:szCs w:val="24"/>
          <w:lang w:val="kk-KZ"/>
        </w:rPr>
        <w:t>Оқытушылардың адал түлекті даярлаудағы олардың рөлін түсінуі және курстың академиялық саясатында силлабустың бөлігі ретінде осы түсініктің көрініс табу дәрежесі.</w:t>
      </w:r>
    </w:p>
    <w:p w14:paraId="2FF05A19" w14:textId="5A857977" w:rsidR="00037213" w:rsidRPr="003007B5" w:rsidRDefault="00037213" w:rsidP="00037213">
      <w:pPr>
        <w:numPr>
          <w:ilvl w:val="0"/>
          <w:numId w:val="7"/>
        </w:numPr>
        <w:pBdr>
          <w:top w:val="nil"/>
          <w:left w:val="nil"/>
          <w:bottom w:val="nil"/>
          <w:right w:val="nil"/>
          <w:between w:val="nil"/>
        </w:pBdr>
        <w:spacing w:after="113" w:line="276" w:lineRule="auto"/>
        <w:ind w:left="851" w:hanging="425"/>
        <w:jc w:val="both"/>
        <w:rPr>
          <w:rFonts w:ascii="Arial" w:eastAsia="Arial" w:hAnsi="Arial" w:cs="Arial"/>
          <w:sz w:val="24"/>
          <w:szCs w:val="24"/>
          <w:lang w:val="kk-KZ"/>
        </w:rPr>
      </w:pPr>
      <w:r w:rsidRPr="003007B5">
        <w:rPr>
          <w:rFonts w:ascii="Arial" w:eastAsia="Arial" w:hAnsi="Arial" w:cs="Arial"/>
          <w:sz w:val="24"/>
          <w:szCs w:val="24"/>
          <w:lang w:val="kk-KZ"/>
        </w:rPr>
        <w:t>Имеющиеся примеры (факты) нарушения преподавателями кодекса академической честности университета с механизмом их выявления и устранения, что говорит о работе этих процедур в университете.</w:t>
      </w:r>
      <w:r w:rsidR="00947E0E" w:rsidRPr="003007B5">
        <w:rPr>
          <w:rFonts w:ascii="Arial" w:eastAsia="Arial" w:hAnsi="Arial" w:cs="Arial"/>
          <w:sz w:val="24"/>
          <w:szCs w:val="24"/>
          <w:lang w:val="kk-KZ"/>
        </w:rPr>
        <w:t xml:space="preserve"> </w:t>
      </w:r>
      <w:r w:rsidR="00947E0E" w:rsidRPr="003007B5">
        <w:rPr>
          <w:rFonts w:ascii="Arial" w:eastAsia="Arial" w:hAnsi="Arial" w:cs="Arial"/>
          <w:sz w:val="24"/>
          <w:szCs w:val="24"/>
          <w:lang w:val="kk-KZ"/>
        </w:rPr>
        <w:t>Оқытушылардың университеттің академиялық адалдық кодексін</w:t>
      </w:r>
      <w:r w:rsidR="00947E0E" w:rsidRPr="003007B5">
        <w:rPr>
          <w:rFonts w:ascii="Arial" w:eastAsia="Arial" w:hAnsi="Arial" w:cs="Arial"/>
          <w:sz w:val="24"/>
          <w:szCs w:val="24"/>
          <w:lang w:val="kk-KZ"/>
        </w:rPr>
        <w:t xml:space="preserve"> бұзуын</w:t>
      </w:r>
      <w:r w:rsidR="008656A6" w:rsidRPr="003007B5">
        <w:rPr>
          <w:rFonts w:ascii="Arial" w:eastAsia="Arial" w:hAnsi="Arial" w:cs="Arial"/>
          <w:sz w:val="24"/>
          <w:szCs w:val="24"/>
          <w:lang w:val="kk-KZ"/>
        </w:rPr>
        <w:t xml:space="preserve"> жою тетігімен</w:t>
      </w:r>
      <w:r w:rsidR="00947E0E" w:rsidRPr="003007B5">
        <w:rPr>
          <w:rFonts w:ascii="Arial" w:eastAsia="Arial" w:hAnsi="Arial" w:cs="Arial"/>
          <w:sz w:val="24"/>
          <w:szCs w:val="24"/>
          <w:lang w:val="kk-KZ"/>
        </w:rPr>
        <w:t xml:space="preserve"> </w:t>
      </w:r>
      <w:r w:rsidR="00947E0E" w:rsidRPr="003007B5">
        <w:rPr>
          <w:rFonts w:ascii="Arial" w:eastAsia="Arial" w:hAnsi="Arial" w:cs="Arial"/>
          <w:sz w:val="24"/>
          <w:szCs w:val="24"/>
          <w:lang w:val="kk-KZ"/>
        </w:rPr>
        <w:t xml:space="preserve">анықтау және </w:t>
      </w:r>
      <w:r w:rsidR="00947E0E" w:rsidRPr="003007B5">
        <w:rPr>
          <w:rFonts w:ascii="Arial" w:eastAsia="Arial" w:hAnsi="Arial" w:cs="Arial"/>
          <w:sz w:val="24"/>
          <w:szCs w:val="24"/>
          <w:lang w:val="kk-KZ"/>
        </w:rPr>
        <w:t xml:space="preserve">оны </w:t>
      </w:r>
      <w:r w:rsidR="00947E0E" w:rsidRPr="003007B5">
        <w:rPr>
          <w:rFonts w:ascii="Arial" w:eastAsia="Arial" w:hAnsi="Arial" w:cs="Arial"/>
          <w:sz w:val="24"/>
          <w:szCs w:val="24"/>
          <w:lang w:val="kk-KZ"/>
        </w:rPr>
        <w:t>бұзу мысалдары (фактілері), бұл университеттегі осы рәсімдердің жұмысын көрсетеді.</w:t>
      </w:r>
    </w:p>
    <w:p w14:paraId="32BD3485" w14:textId="0E6EF2F8" w:rsidR="00037213" w:rsidRPr="003007B5" w:rsidRDefault="008656A6" w:rsidP="00037213">
      <w:pPr>
        <w:numPr>
          <w:ilvl w:val="0"/>
          <w:numId w:val="11"/>
        </w:numPr>
        <w:tabs>
          <w:tab w:val="left" w:pos="851"/>
        </w:tabs>
        <w:spacing w:after="113" w:line="276" w:lineRule="auto"/>
        <w:ind w:left="426"/>
        <w:jc w:val="both"/>
        <w:rPr>
          <w:rFonts w:ascii="Arial" w:hAnsi="Arial" w:cs="Arial"/>
          <w:sz w:val="24"/>
          <w:szCs w:val="24"/>
          <w:lang w:val="kk-KZ"/>
        </w:rPr>
      </w:pPr>
      <w:r w:rsidRPr="003007B5">
        <w:rPr>
          <w:rFonts w:ascii="Arial" w:eastAsia="Arial" w:hAnsi="Arial" w:cs="Arial"/>
          <w:b/>
          <w:sz w:val="24"/>
          <w:szCs w:val="24"/>
          <w:lang w:val="kk-KZ"/>
        </w:rPr>
        <w:t>Студенттің транскриптілік жазбасы</w:t>
      </w:r>
      <w:r w:rsidR="00037213" w:rsidRPr="003007B5">
        <w:rPr>
          <w:rFonts w:ascii="Arial" w:eastAsia="Arial" w:hAnsi="Arial" w:cs="Arial"/>
          <w:b/>
          <w:sz w:val="24"/>
          <w:szCs w:val="24"/>
          <w:lang w:val="kk-KZ"/>
        </w:rPr>
        <w:t xml:space="preserve"> –</w:t>
      </w:r>
      <w:r w:rsidRPr="003007B5">
        <w:rPr>
          <w:rFonts w:ascii="Arial" w:eastAsia="Arial" w:hAnsi="Arial" w:cs="Arial"/>
          <w:sz w:val="24"/>
          <w:szCs w:val="24"/>
          <w:lang w:val="kk-KZ"/>
        </w:rPr>
        <w:t xml:space="preserve"> </w:t>
      </w:r>
      <w:r w:rsidRPr="003007B5">
        <w:rPr>
          <w:rFonts w:ascii="Arial" w:eastAsia="Arial" w:hAnsi="Arial" w:cs="Arial"/>
          <w:sz w:val="24"/>
          <w:szCs w:val="24"/>
          <w:lang w:val="kk-KZ"/>
        </w:rPr>
        <w:t>студенттің академиялық транскриптіндегі академиялық және академиялық емес жазбалардың толық көрсетілуі.</w:t>
      </w:r>
    </w:p>
    <w:p w14:paraId="1F949814" w14:textId="7D71CBD2" w:rsidR="00037213" w:rsidRPr="003007B5" w:rsidRDefault="008656A6" w:rsidP="00037213">
      <w:pPr>
        <w:numPr>
          <w:ilvl w:val="0"/>
          <w:numId w:val="8"/>
        </w:numPr>
        <w:pBdr>
          <w:top w:val="nil"/>
          <w:left w:val="nil"/>
          <w:bottom w:val="nil"/>
          <w:right w:val="nil"/>
          <w:between w:val="nil"/>
        </w:pBdr>
        <w:spacing w:after="0"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Студенттің транскриптінде оқу нәтижелерін, академиялық және академиялық емес көтермелеулер мен жазаларды жазу рәсімдері мен тетіктері.</w:t>
      </w:r>
    </w:p>
    <w:p w14:paraId="229AEEDD" w14:textId="176D4656" w:rsidR="00037213" w:rsidRPr="003007B5" w:rsidRDefault="008656A6" w:rsidP="00037213">
      <w:pPr>
        <w:numPr>
          <w:ilvl w:val="0"/>
          <w:numId w:val="8"/>
        </w:numPr>
        <w:pBdr>
          <w:top w:val="nil"/>
          <w:left w:val="nil"/>
          <w:bottom w:val="nil"/>
          <w:right w:val="nil"/>
          <w:between w:val="nil"/>
        </w:pBdr>
        <w:spacing w:after="0"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t>Қауіпсіздік деңгейін растау және студенттің транскриптіндегі жазбаларға қол жеткізуді жіктеу.</w:t>
      </w:r>
    </w:p>
    <w:p w14:paraId="2CCA6595" w14:textId="0F431EE8" w:rsidR="00037213" w:rsidRPr="003007B5" w:rsidRDefault="008656A6" w:rsidP="00037213">
      <w:pPr>
        <w:numPr>
          <w:ilvl w:val="0"/>
          <w:numId w:val="8"/>
        </w:numPr>
        <w:pBdr>
          <w:top w:val="nil"/>
          <w:left w:val="nil"/>
          <w:bottom w:val="nil"/>
          <w:right w:val="nil"/>
          <w:between w:val="nil"/>
        </w:pBdr>
        <w:spacing w:after="113" w:line="276" w:lineRule="auto"/>
        <w:ind w:left="851"/>
        <w:jc w:val="both"/>
        <w:rPr>
          <w:rFonts w:ascii="Arial" w:eastAsia="Arial" w:hAnsi="Arial" w:cs="Arial"/>
          <w:sz w:val="24"/>
          <w:szCs w:val="24"/>
          <w:lang w:val="kk-KZ"/>
        </w:rPr>
      </w:pPr>
      <w:r w:rsidRPr="003007B5">
        <w:rPr>
          <w:rFonts w:ascii="Arial" w:eastAsia="Arial" w:hAnsi="Arial" w:cs="Arial"/>
          <w:sz w:val="24"/>
          <w:szCs w:val="24"/>
          <w:lang w:val="kk-KZ"/>
        </w:rPr>
        <w:lastRenderedPageBreak/>
        <w:t>Студенттің университеттің академиялық адалдық кодексін оларды анықтау және жою тетігімен бұзу мысалдары (фактілері), бұл осы процедураларды университетте қолдану туралы айтады.</w:t>
      </w:r>
    </w:p>
    <w:p w14:paraId="4689A2A9" w14:textId="4AD7EC7A" w:rsidR="00037213" w:rsidRPr="003007B5" w:rsidRDefault="008656A6" w:rsidP="00037213">
      <w:pPr>
        <w:pStyle w:val="a3"/>
        <w:numPr>
          <w:ilvl w:val="0"/>
          <w:numId w:val="11"/>
        </w:numPr>
        <w:pBdr>
          <w:top w:val="nil"/>
          <w:left w:val="nil"/>
          <w:bottom w:val="nil"/>
          <w:right w:val="nil"/>
          <w:between w:val="nil"/>
        </w:pBdr>
        <w:spacing w:after="113" w:line="276" w:lineRule="auto"/>
        <w:ind w:hanging="578"/>
        <w:jc w:val="both"/>
        <w:rPr>
          <w:rFonts w:ascii="Arial" w:eastAsia="Arial" w:hAnsi="Arial" w:cs="Arial"/>
          <w:sz w:val="24"/>
          <w:szCs w:val="24"/>
          <w:lang w:val="kk-KZ"/>
        </w:rPr>
      </w:pPr>
      <w:r w:rsidRPr="003007B5">
        <w:rPr>
          <w:rFonts w:ascii="Arial" w:eastAsia="Arial" w:hAnsi="Arial" w:cs="Arial"/>
          <w:b/>
          <w:bCs/>
          <w:sz w:val="24"/>
          <w:szCs w:val="24"/>
          <w:lang w:val="kk-KZ"/>
        </w:rPr>
        <w:t>Қашықтықтан оқыту технологиялары</w:t>
      </w:r>
      <w:r w:rsidR="00037213" w:rsidRPr="003007B5">
        <w:rPr>
          <w:rFonts w:ascii="Arial" w:eastAsia="Arial" w:hAnsi="Arial" w:cs="Arial"/>
          <w:b/>
          <w:bCs/>
          <w:sz w:val="24"/>
          <w:szCs w:val="24"/>
          <w:lang w:val="kk-KZ"/>
        </w:rPr>
        <w:t xml:space="preserve"> – </w:t>
      </w:r>
      <w:r w:rsidRPr="003007B5">
        <w:rPr>
          <w:rFonts w:ascii="Arial" w:eastAsia="Arial" w:hAnsi="Arial" w:cs="Arial"/>
          <w:sz w:val="24"/>
          <w:szCs w:val="24"/>
          <w:lang w:val="kk-KZ"/>
        </w:rPr>
        <w:t>оқытушылар мен студенттер үшін қашықтықтан оқыту жағдайында сапалы білім беру процесінің мүмкіндіктерін ЖЖОКБҰ</w:t>
      </w:r>
      <w:r w:rsidRPr="003007B5">
        <w:rPr>
          <w:rFonts w:ascii="Arial" w:eastAsia="Arial" w:hAnsi="Arial" w:cs="Arial"/>
          <w:sz w:val="24"/>
          <w:szCs w:val="24"/>
          <w:lang w:val="kk-KZ"/>
        </w:rPr>
        <w:t xml:space="preserve"> – нің </w:t>
      </w:r>
      <w:r w:rsidRPr="003007B5">
        <w:rPr>
          <w:rFonts w:ascii="Arial" w:eastAsia="Arial" w:hAnsi="Arial" w:cs="Arial"/>
          <w:sz w:val="24"/>
          <w:szCs w:val="24"/>
          <w:lang w:val="kk-KZ"/>
        </w:rPr>
        <w:t>қамтамасыз ету</w:t>
      </w:r>
      <w:r w:rsidRPr="003007B5">
        <w:rPr>
          <w:rFonts w:ascii="Arial" w:eastAsia="Arial" w:hAnsi="Arial" w:cs="Arial"/>
          <w:sz w:val="24"/>
          <w:szCs w:val="24"/>
          <w:lang w:val="kk-KZ"/>
        </w:rPr>
        <w:t>і</w:t>
      </w:r>
      <w:r w:rsidRPr="003007B5">
        <w:rPr>
          <w:rFonts w:ascii="Arial" w:eastAsia="Arial" w:hAnsi="Arial" w:cs="Arial"/>
          <w:sz w:val="24"/>
          <w:szCs w:val="24"/>
          <w:lang w:val="kk-KZ"/>
        </w:rPr>
        <w:t>.</w:t>
      </w:r>
    </w:p>
    <w:p w14:paraId="3BC2E776" w14:textId="08A9632B" w:rsidR="00037213" w:rsidRPr="003007B5" w:rsidRDefault="00037213" w:rsidP="00037213">
      <w:pPr>
        <w:pBdr>
          <w:top w:val="nil"/>
          <w:left w:val="nil"/>
          <w:bottom w:val="nil"/>
          <w:right w:val="nil"/>
          <w:between w:val="nil"/>
        </w:pBdr>
        <w:spacing w:after="113" w:line="276" w:lineRule="auto"/>
        <w:ind w:left="851" w:hanging="282"/>
        <w:jc w:val="both"/>
        <w:rPr>
          <w:rFonts w:ascii="Arial" w:eastAsia="Arial" w:hAnsi="Arial" w:cs="Arial"/>
          <w:sz w:val="24"/>
          <w:szCs w:val="24"/>
          <w:lang w:val="kk-KZ"/>
        </w:rPr>
      </w:pPr>
      <w:r w:rsidRPr="003007B5">
        <w:rPr>
          <w:rFonts w:ascii="Arial" w:eastAsia="Arial" w:hAnsi="Arial" w:cs="Arial"/>
          <w:sz w:val="24"/>
          <w:szCs w:val="24"/>
          <w:lang w:val="kk-KZ"/>
        </w:rPr>
        <w:t>a.</w:t>
      </w:r>
      <w:r w:rsidR="008656A6" w:rsidRPr="003007B5">
        <w:rPr>
          <w:rFonts w:ascii="Arial" w:eastAsia="Arial" w:hAnsi="Arial" w:cs="Arial"/>
          <w:sz w:val="24"/>
          <w:szCs w:val="24"/>
          <w:lang w:val="kk-KZ"/>
        </w:rPr>
        <w:t xml:space="preserve"> </w:t>
      </w:r>
      <w:r w:rsidR="008656A6" w:rsidRPr="003007B5">
        <w:rPr>
          <w:rFonts w:ascii="Arial" w:eastAsia="Arial" w:hAnsi="Arial" w:cs="Arial"/>
          <w:sz w:val="24"/>
          <w:szCs w:val="24"/>
          <w:lang w:val="kk-KZ"/>
        </w:rPr>
        <w:t>Пайдаланушыларға тұрақты техникалық қолдау көрсете отырып, қашықтықтан оқыту технологияларын пайдалана отырып, білім беру процесін жүргізу үшін сапалы платформа мен ресурстарды ұйымдастыру.</w:t>
      </w:r>
    </w:p>
    <w:p w14:paraId="5E35C516" w14:textId="4EF99F39" w:rsidR="00037213" w:rsidRPr="003007B5" w:rsidRDefault="00037213" w:rsidP="00037213">
      <w:pPr>
        <w:pBdr>
          <w:top w:val="nil"/>
          <w:left w:val="nil"/>
          <w:bottom w:val="nil"/>
          <w:right w:val="nil"/>
          <w:between w:val="nil"/>
        </w:pBdr>
        <w:spacing w:after="113" w:line="276" w:lineRule="auto"/>
        <w:ind w:left="851" w:hanging="282"/>
        <w:jc w:val="both"/>
        <w:rPr>
          <w:rFonts w:ascii="Arial" w:eastAsia="Arial" w:hAnsi="Arial" w:cs="Arial"/>
          <w:sz w:val="24"/>
          <w:szCs w:val="24"/>
          <w:lang w:val="kk-KZ"/>
        </w:rPr>
      </w:pPr>
      <w:r w:rsidRPr="003007B5">
        <w:rPr>
          <w:rFonts w:ascii="Arial" w:eastAsia="Arial" w:hAnsi="Arial" w:cs="Arial"/>
          <w:sz w:val="24"/>
          <w:szCs w:val="24"/>
          <w:lang w:val="kk-KZ"/>
        </w:rPr>
        <w:t xml:space="preserve">b. </w:t>
      </w:r>
      <w:r w:rsidR="008656A6" w:rsidRPr="003007B5">
        <w:rPr>
          <w:rFonts w:ascii="Arial" w:eastAsia="Arial" w:hAnsi="Arial" w:cs="Arial"/>
          <w:sz w:val="24"/>
          <w:szCs w:val="24"/>
          <w:lang w:val="kk-KZ"/>
        </w:rPr>
        <w:t>ЖЖОКБҰ-ның Академиялық қоғамдастығына академиялық адалдықты қамтамасыз етудің электрондық құралдарын: корпоративтік аккаунттарды, электрондық прокторинг және академиялық адалдықты тану құралдарын қалыптастыру, академиялық қызметтерді онлайн ұсыну және т. б. бойынша қолдау көрсету.</w:t>
      </w:r>
    </w:p>
    <w:p w14:paraId="110F2FD6" w14:textId="5B8345A6" w:rsidR="00037213" w:rsidRPr="003007B5" w:rsidRDefault="00037213" w:rsidP="00037213">
      <w:pPr>
        <w:pBdr>
          <w:top w:val="nil"/>
          <w:left w:val="nil"/>
          <w:bottom w:val="nil"/>
          <w:right w:val="nil"/>
          <w:between w:val="nil"/>
        </w:pBdr>
        <w:spacing w:after="113" w:line="276" w:lineRule="auto"/>
        <w:ind w:left="851" w:hanging="282"/>
        <w:jc w:val="both"/>
        <w:rPr>
          <w:rFonts w:ascii="Arial" w:eastAsia="Arial" w:hAnsi="Arial" w:cs="Arial"/>
          <w:sz w:val="24"/>
          <w:szCs w:val="24"/>
          <w:lang w:val="kk-KZ"/>
        </w:rPr>
      </w:pPr>
      <w:r w:rsidRPr="003007B5">
        <w:rPr>
          <w:rFonts w:ascii="Arial" w:eastAsia="Arial" w:hAnsi="Arial" w:cs="Arial"/>
          <w:sz w:val="24"/>
          <w:szCs w:val="24"/>
          <w:lang w:val="kk-KZ"/>
        </w:rPr>
        <w:t xml:space="preserve">с. </w:t>
      </w:r>
      <w:r w:rsidR="008656A6" w:rsidRPr="003007B5">
        <w:rPr>
          <w:rFonts w:ascii="Arial" w:eastAsia="Arial" w:hAnsi="Arial" w:cs="Arial"/>
          <w:sz w:val="24"/>
          <w:szCs w:val="24"/>
          <w:lang w:val="kk-KZ"/>
        </w:rPr>
        <w:t>О</w:t>
      </w:r>
      <w:r w:rsidR="008656A6" w:rsidRPr="003007B5">
        <w:rPr>
          <w:rFonts w:ascii="Arial" w:eastAsia="Arial" w:hAnsi="Arial" w:cs="Arial"/>
          <w:sz w:val="24"/>
          <w:szCs w:val="24"/>
          <w:lang w:val="kk-KZ"/>
        </w:rPr>
        <w:t>нлайн-прокторлық жүйесі</w:t>
      </w:r>
      <w:r w:rsidR="008656A6" w:rsidRPr="003007B5">
        <w:rPr>
          <w:rFonts w:ascii="Arial" w:eastAsia="Arial" w:hAnsi="Arial" w:cs="Arial"/>
          <w:sz w:val="24"/>
          <w:szCs w:val="24"/>
          <w:lang w:val="kk-KZ"/>
        </w:rPr>
        <w:t xml:space="preserve">нің қолданатын жүйесінде </w:t>
      </w:r>
      <w:r w:rsidR="008656A6" w:rsidRPr="003007B5">
        <w:rPr>
          <w:rFonts w:ascii="Arial" w:eastAsia="Arial" w:hAnsi="Arial" w:cs="Arial"/>
          <w:sz w:val="24"/>
          <w:szCs w:val="24"/>
          <w:lang w:val="kk-KZ"/>
        </w:rPr>
        <w:t>болуы керек</w:t>
      </w:r>
      <w:r w:rsidR="00AD4CCC" w:rsidRPr="003007B5">
        <w:rPr>
          <w:rFonts w:ascii="Arial" w:eastAsia="Arial" w:hAnsi="Arial" w:cs="Arial"/>
          <w:sz w:val="24"/>
          <w:szCs w:val="24"/>
          <w:lang w:val="kk-KZ"/>
        </w:rPr>
        <w:t xml:space="preserve"> мүмкіндіктер</w:t>
      </w:r>
      <w:r w:rsidRPr="003007B5">
        <w:rPr>
          <w:rFonts w:ascii="Arial" w:eastAsia="Arial" w:hAnsi="Arial" w:cs="Arial"/>
          <w:sz w:val="24"/>
          <w:szCs w:val="24"/>
          <w:lang w:val="kk-KZ"/>
        </w:rPr>
        <w:t>:</w:t>
      </w:r>
    </w:p>
    <w:p w14:paraId="2929477C" w14:textId="540ADEEF" w:rsidR="00037213" w:rsidRPr="003007B5" w:rsidRDefault="00AD4CCC" w:rsidP="00037213">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Пайдаланушының жеке басын идентификациялау</w:t>
      </w:r>
      <w:r w:rsidR="00037213" w:rsidRPr="003007B5">
        <w:rPr>
          <w:rFonts w:ascii="Arial" w:eastAsia="Arial" w:hAnsi="Arial" w:cs="Arial"/>
          <w:sz w:val="24"/>
          <w:szCs w:val="24"/>
          <w:lang w:val="kk-KZ"/>
        </w:rPr>
        <w:t>;</w:t>
      </w:r>
    </w:p>
    <w:p w14:paraId="43613919" w14:textId="46CFBA0D" w:rsidR="00037213" w:rsidRPr="003007B5" w:rsidRDefault="00AD4CCC" w:rsidP="00037213">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Жағдайдың үздіксіз бейнежазбасы</w:t>
      </w:r>
      <w:r w:rsidR="00037213" w:rsidRPr="003007B5">
        <w:rPr>
          <w:rFonts w:ascii="Arial" w:eastAsia="Arial" w:hAnsi="Arial" w:cs="Arial"/>
          <w:sz w:val="24"/>
          <w:szCs w:val="24"/>
          <w:lang w:val="kk-KZ"/>
        </w:rPr>
        <w:t>;</w:t>
      </w:r>
    </w:p>
    <w:p w14:paraId="27E8CB89" w14:textId="5E575812" w:rsidR="00037213" w:rsidRPr="003007B5" w:rsidRDefault="00AD4CCC" w:rsidP="00037213">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Пайдаланушы экранының үздіксіз жазылуы</w:t>
      </w:r>
      <w:r w:rsidR="00037213" w:rsidRPr="003007B5">
        <w:rPr>
          <w:rFonts w:ascii="Arial" w:eastAsia="Arial" w:hAnsi="Arial" w:cs="Arial"/>
          <w:sz w:val="24"/>
          <w:szCs w:val="24"/>
          <w:lang w:val="kk-KZ"/>
        </w:rPr>
        <w:t>;</w:t>
      </w:r>
    </w:p>
    <w:p w14:paraId="3B5E6500" w14:textId="415DAE36" w:rsidR="00037213" w:rsidRPr="003007B5" w:rsidRDefault="00AD4CCC" w:rsidP="00037213">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Шу деңгейін бақылау</w:t>
      </w:r>
      <w:r w:rsidR="00037213" w:rsidRPr="003007B5">
        <w:rPr>
          <w:rFonts w:ascii="Arial" w:eastAsia="Arial" w:hAnsi="Arial" w:cs="Arial"/>
          <w:sz w:val="24"/>
          <w:szCs w:val="24"/>
          <w:lang w:val="kk-KZ"/>
        </w:rPr>
        <w:t>;</w:t>
      </w:r>
    </w:p>
    <w:p w14:paraId="61D296B1" w14:textId="0D551002" w:rsidR="00037213" w:rsidRPr="003007B5" w:rsidRDefault="00AD4CCC" w:rsidP="00037213">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Қосымша экрандарды пайдалануға тыйым салу;</w:t>
      </w:r>
    </w:p>
    <w:p w14:paraId="6F203B0E" w14:textId="1A6CD3CD" w:rsidR="00037213" w:rsidRPr="003007B5" w:rsidRDefault="00AD4CCC" w:rsidP="00037213">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Браузердің парақшаларын ашуға тыйым салу</w:t>
      </w:r>
      <w:r w:rsidR="00037213" w:rsidRPr="003007B5">
        <w:rPr>
          <w:rFonts w:ascii="Arial" w:eastAsia="Arial" w:hAnsi="Arial" w:cs="Arial"/>
          <w:sz w:val="24"/>
          <w:szCs w:val="24"/>
          <w:lang w:val="kk-KZ"/>
        </w:rPr>
        <w:t>;</w:t>
      </w:r>
    </w:p>
    <w:p w14:paraId="45C4EDB0" w14:textId="30331E36" w:rsidR="00037213" w:rsidRPr="003007B5" w:rsidRDefault="00AD4CCC" w:rsidP="00037213">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Толықэкранды режимнен шығуға тыйым салу</w:t>
      </w:r>
      <w:r w:rsidR="00037213" w:rsidRPr="003007B5">
        <w:rPr>
          <w:rFonts w:ascii="Arial" w:eastAsia="Arial" w:hAnsi="Arial" w:cs="Arial"/>
          <w:sz w:val="24"/>
          <w:szCs w:val="24"/>
          <w:lang w:val="kk-KZ"/>
        </w:rPr>
        <w:t>;</w:t>
      </w:r>
    </w:p>
    <w:p w14:paraId="49157B90" w14:textId="37A3432E" w:rsidR="00037213" w:rsidRPr="003007B5" w:rsidRDefault="00AD4CCC" w:rsidP="00037213">
      <w:pPr>
        <w:pStyle w:val="a3"/>
        <w:numPr>
          <w:ilvl w:val="0"/>
          <w:numId w:val="12"/>
        </w:numPr>
        <w:pBdr>
          <w:top w:val="nil"/>
          <w:left w:val="nil"/>
          <w:bottom w:val="nil"/>
          <w:right w:val="nil"/>
          <w:between w:val="nil"/>
        </w:pBdr>
        <w:spacing w:after="113" w:line="276" w:lineRule="auto"/>
        <w:jc w:val="both"/>
        <w:rPr>
          <w:rFonts w:ascii="Arial" w:eastAsia="Arial" w:hAnsi="Arial" w:cs="Arial"/>
          <w:sz w:val="24"/>
          <w:szCs w:val="24"/>
          <w:lang w:val="kk-KZ"/>
        </w:rPr>
      </w:pPr>
      <w:r w:rsidRPr="003007B5">
        <w:rPr>
          <w:rFonts w:ascii="Arial" w:eastAsia="Arial" w:hAnsi="Arial" w:cs="Arial"/>
          <w:sz w:val="24"/>
          <w:szCs w:val="24"/>
          <w:lang w:val="kk-KZ"/>
        </w:rPr>
        <w:t>Браузердің қосымша парақшаларын ашуға тыйым салу</w:t>
      </w:r>
      <w:r w:rsidR="008F05A1" w:rsidRPr="003007B5">
        <w:rPr>
          <w:rFonts w:ascii="Arial" w:eastAsia="Arial" w:hAnsi="Arial" w:cs="Arial"/>
          <w:sz w:val="24"/>
          <w:szCs w:val="24"/>
          <w:lang w:val="kk-KZ"/>
        </w:rPr>
        <w:t>.</w:t>
      </w:r>
    </w:p>
    <w:p w14:paraId="6BA7E20A" w14:textId="77777777" w:rsidR="00037213" w:rsidRPr="003007B5" w:rsidRDefault="00037213" w:rsidP="00037213">
      <w:pPr>
        <w:spacing w:after="113" w:line="276" w:lineRule="auto"/>
        <w:jc w:val="center"/>
        <w:rPr>
          <w:rFonts w:ascii="Arial" w:eastAsia="Arial" w:hAnsi="Arial" w:cs="Arial"/>
          <w:b/>
          <w:sz w:val="24"/>
          <w:szCs w:val="24"/>
          <w:lang w:val="kk-KZ"/>
        </w:rPr>
      </w:pPr>
    </w:p>
    <w:p w14:paraId="22977C77" w14:textId="2244811F" w:rsidR="00037213" w:rsidRPr="003007B5" w:rsidRDefault="00AD4CCC" w:rsidP="00037213">
      <w:pPr>
        <w:spacing w:after="113" w:line="276" w:lineRule="auto"/>
        <w:jc w:val="center"/>
        <w:rPr>
          <w:rFonts w:ascii="Arial" w:eastAsia="Arial" w:hAnsi="Arial" w:cs="Arial"/>
          <w:sz w:val="24"/>
          <w:szCs w:val="24"/>
          <w:lang w:val="kk-KZ"/>
        </w:rPr>
      </w:pPr>
      <w:r w:rsidRPr="003007B5">
        <w:rPr>
          <w:rFonts w:ascii="Arial" w:eastAsia="Arial" w:hAnsi="Arial" w:cs="Arial"/>
          <w:b/>
          <w:sz w:val="24"/>
          <w:szCs w:val="24"/>
          <w:lang w:val="kk-KZ"/>
        </w:rPr>
        <w:t>Ұсыныстар</w:t>
      </w:r>
      <w:r w:rsidR="00037213" w:rsidRPr="003007B5">
        <w:rPr>
          <w:rFonts w:ascii="Arial" w:eastAsia="Arial" w:hAnsi="Arial" w:cs="Arial"/>
          <w:b/>
          <w:sz w:val="24"/>
          <w:szCs w:val="24"/>
          <w:lang w:val="kk-KZ"/>
        </w:rPr>
        <w:t xml:space="preserve">: </w:t>
      </w:r>
    </w:p>
    <w:p w14:paraId="288EAB30" w14:textId="7906F405" w:rsidR="00037213" w:rsidRPr="003007B5" w:rsidRDefault="00AD4CCC" w:rsidP="00AD4CCC">
      <w:pPr>
        <w:numPr>
          <w:ilvl w:val="0"/>
          <w:numId w:val="9"/>
        </w:numPr>
        <w:pBdr>
          <w:top w:val="nil"/>
          <w:left w:val="nil"/>
          <w:bottom w:val="nil"/>
          <w:right w:val="nil"/>
          <w:between w:val="nil"/>
        </w:pBdr>
        <w:spacing w:after="0" w:line="276" w:lineRule="auto"/>
        <w:jc w:val="both"/>
        <w:rPr>
          <w:rFonts w:ascii="Arial" w:hAnsi="Arial" w:cs="Arial"/>
          <w:sz w:val="24"/>
          <w:szCs w:val="24"/>
          <w:lang w:val="kk-KZ"/>
        </w:rPr>
      </w:pPr>
      <w:r w:rsidRPr="003007B5">
        <w:rPr>
          <w:rFonts w:ascii="Arial" w:eastAsia="Arial" w:hAnsi="Arial" w:cs="Arial"/>
          <w:sz w:val="24"/>
          <w:szCs w:val="24"/>
          <w:lang w:val="kk-KZ"/>
        </w:rPr>
        <w:t xml:space="preserve">Лиганың </w:t>
      </w:r>
      <w:r w:rsidRPr="003007B5">
        <w:rPr>
          <w:rFonts w:ascii="Arial" w:eastAsia="Arial" w:hAnsi="Arial" w:cs="Arial"/>
          <w:sz w:val="24"/>
          <w:szCs w:val="24"/>
          <w:lang w:val="kk-KZ"/>
        </w:rPr>
        <w:t>ЖЖОКБҰ</w:t>
      </w:r>
      <w:r w:rsidRPr="003007B5">
        <w:rPr>
          <w:rFonts w:ascii="Arial" w:eastAsia="Arial" w:hAnsi="Arial" w:cs="Arial"/>
          <w:sz w:val="24"/>
          <w:szCs w:val="24"/>
          <w:lang w:val="kk-KZ"/>
        </w:rPr>
        <w:t>-</w:t>
      </w:r>
      <w:r w:rsidRPr="003007B5">
        <w:rPr>
          <w:rFonts w:ascii="Arial" w:eastAsia="Arial" w:hAnsi="Arial" w:cs="Arial"/>
          <w:sz w:val="24"/>
          <w:szCs w:val="24"/>
          <w:lang w:val="kk-KZ"/>
        </w:rPr>
        <w:t>мүшелері немесе кандидаттар</w:t>
      </w:r>
      <w:r w:rsidRPr="003007B5">
        <w:rPr>
          <w:rFonts w:ascii="Arial" w:eastAsia="Arial" w:hAnsi="Arial" w:cs="Arial"/>
          <w:sz w:val="24"/>
          <w:szCs w:val="24"/>
          <w:lang w:val="kk-KZ"/>
        </w:rPr>
        <w:t xml:space="preserve"> </w:t>
      </w:r>
      <w:r w:rsidRPr="003007B5">
        <w:rPr>
          <w:rFonts w:ascii="Arial" w:eastAsia="Arial" w:hAnsi="Arial" w:cs="Arial"/>
          <w:sz w:val="24"/>
          <w:szCs w:val="24"/>
          <w:lang w:val="kk-KZ"/>
        </w:rPr>
        <w:t xml:space="preserve">қашықтықтан білім беру технологияларын пайдалану кезінде де жоғарыда көрсетілген </w:t>
      </w:r>
      <w:r w:rsidRPr="003007B5">
        <w:rPr>
          <w:rFonts w:ascii="Arial" w:eastAsia="Arial" w:hAnsi="Arial" w:cs="Arial"/>
          <w:sz w:val="24"/>
          <w:szCs w:val="24"/>
          <w:lang w:val="kk-KZ"/>
        </w:rPr>
        <w:t xml:space="preserve">критерийлерді </w:t>
      </w:r>
      <w:r w:rsidRPr="003007B5">
        <w:rPr>
          <w:rFonts w:ascii="Arial" w:eastAsia="Arial" w:hAnsi="Arial" w:cs="Arial"/>
          <w:sz w:val="24"/>
          <w:szCs w:val="24"/>
          <w:lang w:val="kk-KZ"/>
        </w:rPr>
        <w:t>орындауға ұмтылу немесе оларға қол жеткізу траекториясында</w:t>
      </w:r>
      <w:r w:rsidRPr="003007B5">
        <w:rPr>
          <w:rFonts w:ascii="Arial" w:eastAsia="Arial" w:hAnsi="Arial" w:cs="Arial"/>
          <w:sz w:val="24"/>
          <w:szCs w:val="24"/>
          <w:lang w:val="kk-KZ"/>
        </w:rPr>
        <w:t xml:space="preserve"> болу.</w:t>
      </w:r>
    </w:p>
    <w:p w14:paraId="044A0EA2" w14:textId="3014C858" w:rsidR="00037213" w:rsidRPr="003007B5" w:rsidRDefault="00AD4CCC" w:rsidP="00037213">
      <w:pPr>
        <w:numPr>
          <w:ilvl w:val="0"/>
          <w:numId w:val="9"/>
        </w:numPr>
        <w:pBdr>
          <w:top w:val="nil"/>
          <w:left w:val="nil"/>
          <w:bottom w:val="nil"/>
          <w:right w:val="nil"/>
          <w:between w:val="nil"/>
        </w:pBdr>
        <w:spacing w:after="0" w:line="276" w:lineRule="auto"/>
        <w:jc w:val="both"/>
        <w:rPr>
          <w:rFonts w:ascii="Arial" w:hAnsi="Arial" w:cs="Arial"/>
          <w:sz w:val="24"/>
          <w:szCs w:val="24"/>
          <w:lang w:val="kk-KZ"/>
        </w:rPr>
      </w:pPr>
      <w:r w:rsidRPr="003007B5">
        <w:rPr>
          <w:rFonts w:ascii="Arial" w:eastAsia="Arial" w:hAnsi="Arial" w:cs="Arial"/>
          <w:sz w:val="24"/>
          <w:szCs w:val="24"/>
          <w:lang w:val="kk-KZ"/>
        </w:rPr>
        <w:t xml:space="preserve">Кредиттік оқыту технологиясы саласында </w:t>
      </w:r>
      <w:r w:rsidRPr="003007B5">
        <w:rPr>
          <w:rFonts w:ascii="Arial" w:eastAsia="Arial" w:hAnsi="Arial" w:cs="Arial"/>
          <w:sz w:val="24"/>
          <w:szCs w:val="24"/>
          <w:lang w:val="kk-KZ"/>
        </w:rPr>
        <w:t>Лига</w:t>
      </w:r>
      <w:r w:rsidRPr="003007B5">
        <w:rPr>
          <w:rFonts w:ascii="Arial" w:eastAsia="Arial" w:hAnsi="Arial" w:cs="Arial"/>
          <w:sz w:val="24"/>
          <w:szCs w:val="24"/>
          <w:lang w:val="kk-KZ"/>
        </w:rPr>
        <w:t xml:space="preserve">ның Кеңесіне және </w:t>
      </w:r>
      <w:r w:rsidRPr="003007B5">
        <w:rPr>
          <w:rFonts w:ascii="Arial" w:eastAsia="Arial" w:hAnsi="Arial" w:cs="Arial"/>
          <w:sz w:val="24"/>
          <w:szCs w:val="24"/>
          <w:lang w:val="kk-KZ"/>
        </w:rPr>
        <w:t>Лига</w:t>
      </w:r>
      <w:r w:rsidRPr="003007B5">
        <w:rPr>
          <w:rFonts w:ascii="Arial" w:eastAsia="Arial" w:hAnsi="Arial" w:cs="Arial"/>
          <w:sz w:val="24"/>
          <w:szCs w:val="24"/>
          <w:lang w:val="kk-KZ"/>
        </w:rPr>
        <w:t xml:space="preserve">ның мониторингтік тобына ұсынымдар мен шешімдер шығару үшін сұратылатын материалдар мен рәсімдердің дәлелдемелерін ерікті және іріктеп ұсыну арқылы </w:t>
      </w:r>
      <w:r w:rsidRPr="003007B5">
        <w:rPr>
          <w:rFonts w:ascii="Arial" w:eastAsia="Arial" w:hAnsi="Arial" w:cs="Arial"/>
          <w:sz w:val="24"/>
          <w:szCs w:val="24"/>
          <w:lang w:val="kk-KZ"/>
        </w:rPr>
        <w:t>Лига</w:t>
      </w:r>
      <w:r w:rsidRPr="003007B5">
        <w:rPr>
          <w:rFonts w:ascii="Arial" w:eastAsia="Arial" w:hAnsi="Arial" w:cs="Arial"/>
          <w:sz w:val="24"/>
          <w:szCs w:val="24"/>
          <w:lang w:val="kk-KZ"/>
        </w:rPr>
        <w:t xml:space="preserve"> стандарты критерийлерін сақтау</w:t>
      </w:r>
      <w:r w:rsidRPr="003007B5">
        <w:rPr>
          <w:rFonts w:ascii="Arial" w:eastAsia="Arial" w:hAnsi="Arial" w:cs="Arial"/>
          <w:sz w:val="24"/>
          <w:szCs w:val="24"/>
          <w:lang w:val="kk-KZ"/>
        </w:rPr>
        <w:t>.</w:t>
      </w:r>
    </w:p>
    <w:p w14:paraId="28200730" w14:textId="6656614D" w:rsidR="00037213" w:rsidRPr="003007B5" w:rsidRDefault="00AD4CCC" w:rsidP="00037213">
      <w:pPr>
        <w:numPr>
          <w:ilvl w:val="0"/>
          <w:numId w:val="9"/>
        </w:numPr>
        <w:pBdr>
          <w:top w:val="nil"/>
          <w:left w:val="nil"/>
          <w:bottom w:val="nil"/>
          <w:right w:val="nil"/>
          <w:between w:val="nil"/>
        </w:pBdr>
        <w:spacing w:after="0" w:line="276" w:lineRule="auto"/>
        <w:jc w:val="both"/>
        <w:rPr>
          <w:rFonts w:ascii="Arial" w:hAnsi="Arial" w:cs="Arial"/>
          <w:sz w:val="24"/>
          <w:szCs w:val="24"/>
          <w:lang w:val="kk-KZ"/>
        </w:rPr>
      </w:pPr>
      <w:r w:rsidRPr="003007B5">
        <w:rPr>
          <w:rFonts w:ascii="Arial" w:eastAsia="Arial" w:hAnsi="Arial" w:cs="Arial"/>
          <w:sz w:val="24"/>
          <w:szCs w:val="24"/>
          <w:lang w:val="kk-KZ"/>
        </w:rPr>
        <w:lastRenderedPageBreak/>
        <w:t>Лига</w:t>
      </w:r>
      <w:r w:rsidRPr="003007B5">
        <w:rPr>
          <w:rFonts w:ascii="Arial" w:eastAsia="Arial" w:hAnsi="Arial" w:cs="Arial"/>
          <w:sz w:val="24"/>
          <w:szCs w:val="24"/>
          <w:lang w:val="kk-KZ"/>
        </w:rPr>
        <w:t xml:space="preserve">ның мүшелері немесе </w:t>
      </w:r>
      <w:r w:rsidRPr="003007B5">
        <w:rPr>
          <w:rFonts w:ascii="Arial" w:eastAsia="Arial" w:hAnsi="Arial" w:cs="Arial"/>
          <w:sz w:val="24"/>
          <w:szCs w:val="24"/>
          <w:lang w:val="kk-KZ"/>
        </w:rPr>
        <w:t>Лига</w:t>
      </w:r>
      <w:r w:rsidRPr="003007B5">
        <w:rPr>
          <w:rFonts w:ascii="Arial" w:eastAsia="Arial" w:hAnsi="Arial" w:cs="Arial"/>
          <w:sz w:val="24"/>
          <w:szCs w:val="24"/>
          <w:lang w:val="kk-KZ"/>
        </w:rPr>
        <w:t xml:space="preserve">ға кіруге үміткер кандидаттар </w:t>
      </w:r>
      <w:r w:rsidRPr="003007B5">
        <w:rPr>
          <w:rFonts w:ascii="Arial" w:eastAsia="Arial" w:hAnsi="Arial" w:cs="Arial"/>
          <w:sz w:val="24"/>
          <w:szCs w:val="24"/>
          <w:lang w:val="kk-KZ"/>
        </w:rPr>
        <w:t>Лига</w:t>
      </w:r>
      <w:r w:rsidRPr="003007B5">
        <w:rPr>
          <w:rFonts w:ascii="Arial" w:eastAsia="Arial" w:hAnsi="Arial" w:cs="Arial"/>
          <w:sz w:val="24"/>
          <w:szCs w:val="24"/>
          <w:lang w:val="kk-KZ"/>
        </w:rPr>
        <w:t xml:space="preserve">ның Кеңесіне және </w:t>
      </w:r>
      <w:r w:rsidRPr="003007B5">
        <w:rPr>
          <w:rFonts w:ascii="Arial" w:eastAsia="Arial" w:hAnsi="Arial" w:cs="Arial"/>
          <w:sz w:val="24"/>
          <w:szCs w:val="24"/>
          <w:lang w:val="kk-KZ"/>
        </w:rPr>
        <w:t>Лига</w:t>
      </w:r>
      <w:r w:rsidRPr="003007B5">
        <w:rPr>
          <w:rFonts w:ascii="Arial" w:eastAsia="Arial" w:hAnsi="Arial" w:cs="Arial"/>
          <w:sz w:val="24"/>
          <w:szCs w:val="24"/>
          <w:lang w:val="kk-KZ"/>
        </w:rPr>
        <w:t>ның мониторингтік тобына анонимдендірілген фактологиялық деректер, транскрипт, оқу жоспарлары, силлабустар үлгілері, ЖЖОКБҰ-ның академиялық қызметін регламенттейтін ашық құжаттарға және өзге де құжаттарға Электрондық қол жеткізу сияқты материалдарды ерікті түрде ұсынады.</w:t>
      </w:r>
    </w:p>
    <w:p w14:paraId="6FC087F6" w14:textId="77777777" w:rsidR="00037213" w:rsidRPr="003007B5" w:rsidRDefault="00037213" w:rsidP="00037213">
      <w:pPr>
        <w:pBdr>
          <w:top w:val="nil"/>
          <w:left w:val="nil"/>
          <w:bottom w:val="nil"/>
          <w:right w:val="nil"/>
          <w:between w:val="nil"/>
        </w:pBdr>
        <w:spacing w:after="0" w:line="276" w:lineRule="auto"/>
        <w:ind w:left="720" w:hanging="720"/>
        <w:jc w:val="both"/>
        <w:rPr>
          <w:rFonts w:ascii="Arial" w:hAnsi="Arial" w:cs="Arial"/>
          <w:sz w:val="24"/>
          <w:szCs w:val="24"/>
          <w:lang w:val="kk-KZ"/>
        </w:rPr>
      </w:pPr>
      <w:r w:rsidRPr="003007B5">
        <w:rPr>
          <w:rFonts w:ascii="Arial" w:eastAsia="Arial" w:hAnsi="Arial" w:cs="Arial"/>
          <w:sz w:val="24"/>
          <w:szCs w:val="24"/>
          <w:lang w:val="kk-KZ"/>
        </w:rPr>
        <w:t xml:space="preserve"> </w:t>
      </w:r>
    </w:p>
    <w:p w14:paraId="482CEC2A" w14:textId="77777777" w:rsidR="00037213" w:rsidRPr="003007B5" w:rsidRDefault="00037213" w:rsidP="00037213">
      <w:pPr>
        <w:pBdr>
          <w:top w:val="nil"/>
          <w:left w:val="nil"/>
          <w:bottom w:val="nil"/>
          <w:right w:val="nil"/>
          <w:between w:val="nil"/>
        </w:pBdr>
        <w:spacing w:after="113" w:line="276" w:lineRule="auto"/>
        <w:ind w:left="720" w:hanging="720"/>
        <w:jc w:val="both"/>
        <w:rPr>
          <w:rFonts w:ascii="Arial" w:hAnsi="Arial" w:cs="Arial"/>
          <w:sz w:val="24"/>
          <w:szCs w:val="24"/>
          <w:lang w:val="kk-KZ"/>
        </w:rPr>
      </w:pPr>
    </w:p>
    <w:p w14:paraId="7E6CF493" w14:textId="339FFEBC" w:rsidR="00037213" w:rsidRPr="003007B5" w:rsidRDefault="00037213" w:rsidP="003007B5">
      <w:pPr>
        <w:spacing w:after="113" w:line="276" w:lineRule="auto"/>
        <w:jc w:val="both"/>
        <w:rPr>
          <w:rFonts w:ascii="Arial" w:hAnsi="Arial" w:cs="Arial"/>
          <w:sz w:val="24"/>
          <w:szCs w:val="24"/>
          <w:lang w:val="kk-KZ"/>
        </w:rPr>
      </w:pPr>
      <w:r w:rsidRPr="003007B5">
        <w:rPr>
          <w:rFonts w:ascii="Arial" w:hAnsi="Arial" w:cs="Arial"/>
          <w:sz w:val="24"/>
          <w:szCs w:val="24"/>
          <w:lang w:val="kk-KZ"/>
        </w:rPr>
        <w:br w:type="page"/>
      </w:r>
    </w:p>
    <w:p w14:paraId="34EFAC21" w14:textId="77777777" w:rsidR="00037213" w:rsidRPr="003007B5" w:rsidRDefault="00037213" w:rsidP="00037213">
      <w:pPr>
        <w:spacing w:after="113" w:line="276" w:lineRule="auto"/>
        <w:jc w:val="center"/>
        <w:rPr>
          <w:rFonts w:ascii="Arial" w:hAnsi="Arial" w:cs="Arial"/>
          <w:sz w:val="24"/>
          <w:szCs w:val="24"/>
          <w:lang w:val="kk-KZ"/>
        </w:rPr>
      </w:pPr>
      <w:r w:rsidRPr="003007B5">
        <w:rPr>
          <w:rFonts w:ascii="Arial" w:eastAsia="Arial" w:hAnsi="Arial" w:cs="Arial"/>
          <w:b/>
          <w:sz w:val="24"/>
          <w:szCs w:val="24"/>
          <w:lang w:val="kk-KZ"/>
        </w:rPr>
        <w:lastRenderedPageBreak/>
        <w:t>Библиография</w:t>
      </w:r>
    </w:p>
    <w:p w14:paraId="69AB4A39" w14:textId="77777777" w:rsidR="00037213" w:rsidRPr="003007B5" w:rsidRDefault="00037213" w:rsidP="00037213">
      <w:pPr>
        <w:numPr>
          <w:ilvl w:val="0"/>
          <w:numId w:val="1"/>
        </w:numPr>
        <w:spacing w:after="113" w:line="276" w:lineRule="auto"/>
        <w:jc w:val="both"/>
        <w:rPr>
          <w:rFonts w:ascii="Arial" w:eastAsia="Arial" w:hAnsi="Arial" w:cs="Arial"/>
          <w:color w:val="000000"/>
          <w:sz w:val="24"/>
          <w:szCs w:val="24"/>
          <w:lang w:val="kk-KZ"/>
        </w:rPr>
      </w:pPr>
      <w:r w:rsidRPr="003007B5">
        <w:rPr>
          <w:rFonts w:ascii="Arial" w:eastAsia="Arial" w:hAnsi="Arial" w:cs="Arial"/>
          <w:color w:val="000000"/>
          <w:sz w:val="24"/>
          <w:szCs w:val="24"/>
          <w:lang w:val="kk-KZ"/>
        </w:rPr>
        <w:t xml:space="preserve">Standards and Guidelines for Quality Assurance in the European Higher Education Area </w:t>
      </w:r>
      <w:hyperlink r:id="rId7">
        <w:r w:rsidRPr="003007B5">
          <w:rPr>
            <w:rFonts w:ascii="Arial" w:eastAsia="Arial" w:hAnsi="Arial" w:cs="Arial"/>
            <w:color w:val="000000"/>
            <w:sz w:val="24"/>
            <w:szCs w:val="24"/>
            <w:u w:val="single"/>
            <w:lang w:val="kk-KZ"/>
          </w:rPr>
          <w:t>https://enqa.eu/wp-content/uploads/2015/11/ESG_2015.pdf</w:t>
        </w:r>
      </w:hyperlink>
      <w:r w:rsidRPr="003007B5">
        <w:rPr>
          <w:rFonts w:ascii="Arial" w:eastAsia="Arial" w:hAnsi="Arial" w:cs="Arial"/>
          <w:color w:val="000000"/>
          <w:sz w:val="24"/>
          <w:szCs w:val="24"/>
          <w:lang w:val="kk-KZ"/>
        </w:rPr>
        <w:t xml:space="preserve"> Accessed 27 February 2019</w:t>
      </w:r>
    </w:p>
    <w:p w14:paraId="6B4B5D8C" w14:textId="77777777" w:rsidR="00037213" w:rsidRPr="003007B5" w:rsidRDefault="00037213" w:rsidP="00037213">
      <w:pPr>
        <w:numPr>
          <w:ilvl w:val="0"/>
          <w:numId w:val="1"/>
        </w:numPr>
        <w:spacing w:after="113" w:line="276" w:lineRule="auto"/>
        <w:jc w:val="both"/>
        <w:rPr>
          <w:rFonts w:ascii="Arial" w:eastAsia="Arial" w:hAnsi="Arial" w:cs="Arial"/>
          <w:color w:val="000000"/>
          <w:sz w:val="24"/>
          <w:szCs w:val="24"/>
          <w:lang w:val="kk-KZ"/>
        </w:rPr>
      </w:pPr>
      <w:r w:rsidRPr="003007B5">
        <w:rPr>
          <w:rFonts w:ascii="Arial" w:eastAsia="Arial" w:hAnsi="Arial" w:cs="Arial"/>
          <w:color w:val="000000"/>
          <w:sz w:val="24"/>
          <w:szCs w:val="24"/>
          <w:highlight w:val="white"/>
          <w:lang w:val="kk-KZ"/>
        </w:rPr>
        <w:t>Statutes and Ordinances of the University of Cambridge</w:t>
      </w:r>
      <w:r w:rsidRPr="003007B5">
        <w:rPr>
          <w:rFonts w:ascii="Arial" w:eastAsia="Arial" w:hAnsi="Arial" w:cs="Arial"/>
          <w:color w:val="000000"/>
          <w:sz w:val="24"/>
          <w:szCs w:val="24"/>
          <w:lang w:val="kk-KZ"/>
        </w:rPr>
        <w:t xml:space="preserve"> </w:t>
      </w:r>
      <w:hyperlink r:id="rId8">
        <w:r w:rsidRPr="003007B5">
          <w:rPr>
            <w:rFonts w:ascii="Arial" w:eastAsia="Arial" w:hAnsi="Arial" w:cs="Arial"/>
            <w:color w:val="000000"/>
            <w:sz w:val="24"/>
            <w:szCs w:val="24"/>
            <w:u w:val="single"/>
            <w:lang w:val="kk-KZ"/>
          </w:rPr>
          <w:t>https://www.admin.cam.ac.uk/univ/so/2018/chapter02-section19.html</w:t>
        </w:r>
      </w:hyperlink>
      <w:r w:rsidRPr="003007B5">
        <w:rPr>
          <w:rFonts w:ascii="Arial" w:eastAsia="Arial" w:hAnsi="Arial" w:cs="Arial"/>
          <w:color w:val="000000"/>
          <w:sz w:val="24"/>
          <w:szCs w:val="24"/>
          <w:lang w:val="kk-KZ"/>
        </w:rPr>
        <w:t xml:space="preserve"> Accessed 28 February 2019</w:t>
      </w:r>
    </w:p>
    <w:p w14:paraId="4550B2D4" w14:textId="77777777" w:rsidR="00037213" w:rsidRPr="003007B5" w:rsidRDefault="00037213" w:rsidP="00037213">
      <w:pPr>
        <w:numPr>
          <w:ilvl w:val="0"/>
          <w:numId w:val="1"/>
        </w:numPr>
        <w:spacing w:after="113" w:line="276" w:lineRule="auto"/>
        <w:jc w:val="both"/>
        <w:rPr>
          <w:rFonts w:ascii="Arial" w:eastAsia="Arial" w:hAnsi="Arial" w:cs="Arial"/>
          <w:color w:val="000000"/>
          <w:sz w:val="24"/>
          <w:szCs w:val="24"/>
          <w:lang w:val="kk-KZ"/>
        </w:rPr>
      </w:pPr>
      <w:r w:rsidRPr="003007B5">
        <w:rPr>
          <w:rFonts w:ascii="Arial" w:eastAsia="Arial" w:hAnsi="Arial" w:cs="Arial"/>
          <w:color w:val="000000"/>
          <w:sz w:val="24"/>
          <w:szCs w:val="24"/>
          <w:highlight w:val="white"/>
          <w:lang w:val="kk-KZ"/>
        </w:rPr>
        <w:t>Statutes and Ordinances of the University of Oxford</w:t>
      </w:r>
      <w:r w:rsidRPr="003007B5">
        <w:rPr>
          <w:rFonts w:ascii="Arial" w:eastAsia="Arial" w:hAnsi="Arial" w:cs="Arial"/>
          <w:color w:val="000000"/>
          <w:sz w:val="24"/>
          <w:szCs w:val="24"/>
          <w:lang w:val="kk-KZ"/>
        </w:rPr>
        <w:t xml:space="preserve">. </w:t>
      </w:r>
      <w:hyperlink r:id="rId9">
        <w:r w:rsidRPr="003007B5">
          <w:rPr>
            <w:rFonts w:ascii="Arial" w:eastAsia="Arial" w:hAnsi="Arial" w:cs="Arial"/>
            <w:color w:val="000000"/>
            <w:sz w:val="24"/>
            <w:szCs w:val="24"/>
            <w:u w:val="single"/>
            <w:lang w:val="kk-KZ"/>
          </w:rPr>
          <w:t>http://www.admin.ox.ac.uk/statutes/</w:t>
        </w:r>
      </w:hyperlink>
      <w:r w:rsidRPr="003007B5">
        <w:rPr>
          <w:rFonts w:ascii="Arial" w:eastAsia="Arial" w:hAnsi="Arial" w:cs="Arial"/>
          <w:color w:val="000000"/>
          <w:sz w:val="24"/>
          <w:szCs w:val="24"/>
          <w:lang w:val="kk-KZ"/>
        </w:rPr>
        <w:t xml:space="preserve"> Accessed 28 February 2019</w:t>
      </w:r>
    </w:p>
    <w:p w14:paraId="43E9494E" w14:textId="77777777" w:rsidR="00037213" w:rsidRPr="00037213" w:rsidRDefault="00037213" w:rsidP="00037213">
      <w:pPr>
        <w:numPr>
          <w:ilvl w:val="0"/>
          <w:numId w:val="1"/>
        </w:numPr>
        <w:spacing w:after="113" w:line="276" w:lineRule="auto"/>
        <w:jc w:val="both"/>
        <w:rPr>
          <w:rFonts w:ascii="Arial" w:eastAsia="Arial" w:hAnsi="Arial" w:cs="Arial"/>
          <w:color w:val="000000"/>
          <w:sz w:val="24"/>
          <w:szCs w:val="24"/>
          <w:lang w:val="en-US"/>
        </w:rPr>
      </w:pPr>
      <w:r w:rsidRPr="00037213">
        <w:rPr>
          <w:rFonts w:ascii="Arial" w:eastAsia="Arial" w:hAnsi="Arial" w:cs="Arial"/>
          <w:color w:val="000000"/>
          <w:sz w:val="24"/>
          <w:szCs w:val="24"/>
          <w:lang w:val="en-US"/>
        </w:rPr>
        <w:t xml:space="preserve">Student code of conduct of Nazarbayev University. </w:t>
      </w:r>
      <w:hyperlink r:id="rId10">
        <w:r w:rsidRPr="00037213">
          <w:rPr>
            <w:rFonts w:ascii="Arial" w:eastAsia="Arial" w:hAnsi="Arial" w:cs="Arial"/>
            <w:color w:val="000000"/>
            <w:sz w:val="24"/>
            <w:szCs w:val="24"/>
            <w:u w:val="single"/>
            <w:lang w:val="en-US"/>
          </w:rPr>
          <w:t>https://nu.edu.kz/wp-content/uploads/2017/11/NU-Student-Code-of-Conduct.pdf</w:t>
        </w:r>
      </w:hyperlink>
      <w:r w:rsidRPr="00037213">
        <w:rPr>
          <w:rFonts w:ascii="Arial" w:eastAsia="Arial" w:hAnsi="Arial" w:cs="Arial"/>
          <w:color w:val="000000"/>
          <w:sz w:val="24"/>
          <w:szCs w:val="24"/>
          <w:lang w:val="en-US"/>
        </w:rPr>
        <w:t xml:space="preserve"> Accessed 28 February 2019.</w:t>
      </w:r>
    </w:p>
    <w:p w14:paraId="67AE0A74" w14:textId="77777777" w:rsidR="00037213" w:rsidRPr="00037213" w:rsidRDefault="005C4F44" w:rsidP="00037213">
      <w:pPr>
        <w:numPr>
          <w:ilvl w:val="0"/>
          <w:numId w:val="1"/>
        </w:numPr>
        <w:spacing w:after="113" w:line="276" w:lineRule="auto"/>
        <w:jc w:val="both"/>
        <w:rPr>
          <w:rFonts w:ascii="Arial" w:hAnsi="Arial" w:cs="Arial"/>
          <w:sz w:val="24"/>
          <w:szCs w:val="24"/>
        </w:rPr>
      </w:pPr>
      <w:hyperlink r:id="rId11">
        <w:r w:rsidR="00037213" w:rsidRPr="00037213">
          <w:rPr>
            <w:rFonts w:ascii="Arial" w:eastAsia="Arial" w:hAnsi="Arial" w:cs="Arial"/>
            <w:color w:val="000000"/>
            <w:sz w:val="24"/>
            <w:szCs w:val="24"/>
            <w:highlight w:val="white"/>
            <w:lang w:val="en-US"/>
          </w:rPr>
          <w:t>MIT Procedures for Dealing with Academic Misconduct and Dishonesty</w:t>
        </w:r>
      </w:hyperlink>
      <w:r w:rsidR="00037213" w:rsidRPr="00037213">
        <w:rPr>
          <w:rFonts w:ascii="Arial" w:eastAsia="Arial" w:hAnsi="Arial" w:cs="Arial"/>
          <w:color w:val="000000"/>
          <w:sz w:val="24"/>
          <w:szCs w:val="24"/>
          <w:lang w:val="en-US"/>
        </w:rPr>
        <w:t xml:space="preserve">. </w:t>
      </w:r>
      <w:hyperlink r:id="rId12">
        <w:r w:rsidR="00037213" w:rsidRPr="00037213">
          <w:rPr>
            <w:rFonts w:ascii="Arial" w:eastAsia="Arial" w:hAnsi="Arial" w:cs="Arial"/>
            <w:color w:val="000000"/>
            <w:sz w:val="24"/>
            <w:szCs w:val="24"/>
            <w:u w:val="single"/>
          </w:rPr>
          <w:t>https://policies.mit.edu/policies-procedures</w:t>
        </w:r>
      </w:hyperlink>
      <w:r w:rsidR="00037213" w:rsidRPr="00037213">
        <w:rPr>
          <w:rFonts w:ascii="Arial" w:eastAsia="Arial" w:hAnsi="Arial" w:cs="Arial"/>
          <w:color w:val="000000"/>
          <w:sz w:val="24"/>
          <w:szCs w:val="24"/>
        </w:rPr>
        <w:t xml:space="preserve"> Accessed 28 February 2019.</w:t>
      </w:r>
    </w:p>
    <w:p w14:paraId="1AD3EB2B" w14:textId="77777777" w:rsidR="00037213" w:rsidRPr="00037213" w:rsidRDefault="00037213" w:rsidP="00037213">
      <w:pPr>
        <w:spacing w:after="113" w:line="276" w:lineRule="auto"/>
        <w:rPr>
          <w:rFonts w:ascii="Arial" w:hAnsi="Arial" w:cs="Arial"/>
          <w:sz w:val="24"/>
          <w:szCs w:val="24"/>
        </w:rPr>
      </w:pPr>
      <w:bookmarkStart w:id="0" w:name="_gjdgxs" w:colFirst="0" w:colLast="0"/>
      <w:bookmarkEnd w:id="0"/>
    </w:p>
    <w:p w14:paraId="753301C8" w14:textId="77777777" w:rsidR="00D7440C" w:rsidRDefault="00D7440C"/>
    <w:sectPr w:rsidR="00D7440C">
      <w:headerReference w:type="default" r:id="rId13"/>
      <w:footerReference w:type="defaul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AE267" w14:textId="77777777" w:rsidR="005C4F44" w:rsidRDefault="005C4F44">
      <w:pPr>
        <w:spacing w:after="0" w:line="240" w:lineRule="auto"/>
      </w:pPr>
      <w:r>
        <w:separator/>
      </w:r>
    </w:p>
  </w:endnote>
  <w:endnote w:type="continuationSeparator" w:id="0">
    <w:p w14:paraId="5826A46D" w14:textId="77777777" w:rsidR="005C4F44" w:rsidRDefault="005C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453E9" w14:textId="77777777" w:rsidR="003B5EEB" w:rsidRDefault="005C4F44">
    <w:pPr>
      <w:widowControl w:val="0"/>
      <w:pBdr>
        <w:top w:val="nil"/>
        <w:left w:val="nil"/>
        <w:bottom w:val="nil"/>
        <w:right w:val="nil"/>
        <w:between w:val="nil"/>
      </w:pBdr>
      <w:spacing w:after="0" w:line="276" w:lineRule="auto"/>
      <w:rPr>
        <w:rFonts w:ascii="Arial" w:eastAsia="Arial" w:hAnsi="Arial" w:cs="Arial"/>
      </w:rPr>
    </w:pPr>
  </w:p>
  <w:tbl>
    <w:tblPr>
      <w:tblW w:w="9028" w:type="dxa"/>
      <w:tblLayout w:type="fixed"/>
      <w:tblLook w:val="0400" w:firstRow="0" w:lastRow="0" w:firstColumn="0" w:lastColumn="0" w:noHBand="0" w:noVBand="1"/>
    </w:tblPr>
    <w:tblGrid>
      <w:gridCol w:w="3009"/>
      <w:gridCol w:w="3009"/>
      <w:gridCol w:w="3010"/>
    </w:tblGrid>
    <w:tr w:rsidR="003B5EEB" w14:paraId="1A84F759" w14:textId="77777777">
      <w:tc>
        <w:tcPr>
          <w:tcW w:w="3009" w:type="dxa"/>
          <w:shd w:val="clear" w:color="auto" w:fill="auto"/>
        </w:tcPr>
        <w:p w14:paraId="2693C8DE" w14:textId="77777777" w:rsidR="003B5EEB" w:rsidRDefault="005C4F44">
          <w:pPr>
            <w:pBdr>
              <w:top w:val="nil"/>
              <w:left w:val="nil"/>
              <w:bottom w:val="nil"/>
              <w:right w:val="nil"/>
              <w:between w:val="nil"/>
            </w:pBdr>
            <w:tabs>
              <w:tab w:val="center" w:pos="4680"/>
              <w:tab w:val="right" w:pos="9360"/>
            </w:tabs>
            <w:spacing w:after="0" w:line="240" w:lineRule="auto"/>
            <w:ind w:left="-115"/>
          </w:pPr>
        </w:p>
      </w:tc>
      <w:tc>
        <w:tcPr>
          <w:tcW w:w="3009" w:type="dxa"/>
          <w:shd w:val="clear" w:color="auto" w:fill="auto"/>
        </w:tcPr>
        <w:p w14:paraId="0E8DC178" w14:textId="77777777" w:rsidR="003B5EEB" w:rsidRDefault="005C4F44">
          <w:pPr>
            <w:pBdr>
              <w:top w:val="nil"/>
              <w:left w:val="nil"/>
              <w:bottom w:val="nil"/>
              <w:right w:val="nil"/>
              <w:between w:val="nil"/>
            </w:pBdr>
            <w:tabs>
              <w:tab w:val="center" w:pos="4680"/>
              <w:tab w:val="right" w:pos="9360"/>
            </w:tabs>
            <w:spacing w:after="0" w:line="240" w:lineRule="auto"/>
            <w:jc w:val="center"/>
          </w:pPr>
        </w:p>
      </w:tc>
      <w:tc>
        <w:tcPr>
          <w:tcW w:w="3010" w:type="dxa"/>
          <w:shd w:val="clear" w:color="auto" w:fill="auto"/>
        </w:tcPr>
        <w:p w14:paraId="6F43E3BF" w14:textId="77777777" w:rsidR="003B5EEB" w:rsidRDefault="005C4F44">
          <w:pPr>
            <w:pBdr>
              <w:top w:val="nil"/>
              <w:left w:val="nil"/>
              <w:bottom w:val="nil"/>
              <w:right w:val="nil"/>
              <w:between w:val="nil"/>
            </w:pBdr>
            <w:tabs>
              <w:tab w:val="center" w:pos="4680"/>
              <w:tab w:val="right" w:pos="9360"/>
            </w:tabs>
            <w:spacing w:after="0" w:line="240" w:lineRule="auto"/>
            <w:ind w:right="-115"/>
            <w:jc w:val="right"/>
          </w:pPr>
        </w:p>
      </w:tc>
    </w:tr>
  </w:tbl>
  <w:p w14:paraId="7A11C69A" w14:textId="77777777" w:rsidR="003B5EEB" w:rsidRDefault="005C4F44">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92E57" w14:textId="77777777" w:rsidR="005C4F44" w:rsidRDefault="005C4F44">
      <w:pPr>
        <w:spacing w:after="0" w:line="240" w:lineRule="auto"/>
      </w:pPr>
      <w:r>
        <w:separator/>
      </w:r>
    </w:p>
  </w:footnote>
  <w:footnote w:type="continuationSeparator" w:id="0">
    <w:p w14:paraId="7B30802A" w14:textId="77777777" w:rsidR="005C4F44" w:rsidRDefault="005C4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1A118" w14:textId="77777777" w:rsidR="003B5EEB" w:rsidRDefault="005C4F44">
    <w:pPr>
      <w:widowControl w:val="0"/>
      <w:pBdr>
        <w:top w:val="nil"/>
        <w:left w:val="nil"/>
        <w:bottom w:val="nil"/>
        <w:right w:val="nil"/>
        <w:between w:val="nil"/>
      </w:pBdr>
      <w:spacing w:after="0" w:line="276" w:lineRule="auto"/>
    </w:pPr>
  </w:p>
  <w:tbl>
    <w:tblPr>
      <w:tblW w:w="9028" w:type="dxa"/>
      <w:tblLayout w:type="fixed"/>
      <w:tblLook w:val="0400" w:firstRow="0" w:lastRow="0" w:firstColumn="0" w:lastColumn="0" w:noHBand="0" w:noVBand="1"/>
    </w:tblPr>
    <w:tblGrid>
      <w:gridCol w:w="3009"/>
      <w:gridCol w:w="3009"/>
      <w:gridCol w:w="3010"/>
    </w:tblGrid>
    <w:tr w:rsidR="003B5EEB" w14:paraId="2C6CC9E9" w14:textId="77777777">
      <w:tc>
        <w:tcPr>
          <w:tcW w:w="3009" w:type="dxa"/>
          <w:shd w:val="clear" w:color="auto" w:fill="auto"/>
        </w:tcPr>
        <w:p w14:paraId="26BDF2B5" w14:textId="77777777" w:rsidR="003B5EEB" w:rsidRDefault="005C4F44">
          <w:pPr>
            <w:pBdr>
              <w:top w:val="nil"/>
              <w:left w:val="nil"/>
              <w:bottom w:val="nil"/>
              <w:right w:val="nil"/>
              <w:between w:val="nil"/>
            </w:pBdr>
            <w:tabs>
              <w:tab w:val="center" w:pos="4680"/>
              <w:tab w:val="right" w:pos="9360"/>
            </w:tabs>
            <w:spacing w:after="0" w:line="240" w:lineRule="auto"/>
            <w:ind w:left="-115"/>
          </w:pPr>
        </w:p>
      </w:tc>
      <w:tc>
        <w:tcPr>
          <w:tcW w:w="3009" w:type="dxa"/>
          <w:shd w:val="clear" w:color="auto" w:fill="auto"/>
        </w:tcPr>
        <w:p w14:paraId="6014CD30" w14:textId="77777777" w:rsidR="003B5EEB" w:rsidRDefault="005C4F44">
          <w:pPr>
            <w:pBdr>
              <w:top w:val="nil"/>
              <w:left w:val="nil"/>
              <w:bottom w:val="nil"/>
              <w:right w:val="nil"/>
              <w:between w:val="nil"/>
            </w:pBdr>
            <w:tabs>
              <w:tab w:val="center" w:pos="4680"/>
              <w:tab w:val="right" w:pos="9360"/>
            </w:tabs>
            <w:spacing w:after="0" w:line="240" w:lineRule="auto"/>
            <w:jc w:val="center"/>
          </w:pPr>
        </w:p>
      </w:tc>
      <w:tc>
        <w:tcPr>
          <w:tcW w:w="3010" w:type="dxa"/>
          <w:shd w:val="clear" w:color="auto" w:fill="auto"/>
        </w:tcPr>
        <w:p w14:paraId="19109690" w14:textId="77777777" w:rsidR="003B5EEB" w:rsidRDefault="005C4F44">
          <w:pPr>
            <w:pBdr>
              <w:top w:val="nil"/>
              <w:left w:val="nil"/>
              <w:bottom w:val="nil"/>
              <w:right w:val="nil"/>
              <w:between w:val="nil"/>
            </w:pBdr>
            <w:tabs>
              <w:tab w:val="center" w:pos="4680"/>
              <w:tab w:val="right" w:pos="9360"/>
            </w:tabs>
            <w:spacing w:after="0" w:line="240" w:lineRule="auto"/>
            <w:ind w:right="-115"/>
            <w:jc w:val="right"/>
          </w:pPr>
        </w:p>
      </w:tc>
    </w:tr>
  </w:tbl>
  <w:p w14:paraId="648AC0F1" w14:textId="77777777" w:rsidR="003B5EEB" w:rsidRDefault="008F05A1" w:rsidP="002C74DF">
    <w:pPr>
      <w:pBdr>
        <w:top w:val="nil"/>
        <w:left w:val="nil"/>
        <w:bottom w:val="nil"/>
        <w:right w:val="nil"/>
        <w:between w:val="nil"/>
      </w:pBdr>
      <w:tabs>
        <w:tab w:val="center" w:pos="4680"/>
        <w:tab w:val="right" w:pos="9360"/>
      </w:tabs>
      <w:spacing w:after="0" w:line="240" w:lineRule="auto"/>
    </w:pPr>
    <w:r>
      <w:rPr>
        <w:noProof/>
      </w:rPr>
      <w:drawing>
        <wp:inline distT="0" distB="0" distL="0" distR="0" wp14:anchorId="041FD3EE" wp14:editId="54121040">
          <wp:extent cx="5731510" cy="973333"/>
          <wp:effectExtent l="0" t="0" r="254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510" cy="973333"/>
                  </a:xfrm>
                  <a:prstGeom prst="rect">
                    <a:avLst/>
                  </a:prstGeom>
                  <a:ln/>
                </pic:spPr>
              </pic:pic>
            </a:graphicData>
          </a:graphic>
        </wp:inline>
      </w:drawing>
    </w:r>
  </w:p>
  <w:p w14:paraId="3A18BA76" w14:textId="77777777" w:rsidR="003B5EEB" w:rsidRDefault="008F05A1">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C29A3"/>
    <w:multiLevelType w:val="multilevel"/>
    <w:tmpl w:val="02FCF92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415937"/>
    <w:multiLevelType w:val="multilevel"/>
    <w:tmpl w:val="B7C0CC06"/>
    <w:lvl w:ilvl="0">
      <w:start w:val="1"/>
      <w:numFmt w:val="lowerLetter"/>
      <w:lvlText w:val="%1."/>
      <w:lvlJc w:val="left"/>
      <w:pPr>
        <w:ind w:left="1800" w:hanging="360"/>
      </w:pPr>
      <w:rPr>
        <w:b/>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F4462C9"/>
    <w:multiLevelType w:val="multilevel"/>
    <w:tmpl w:val="1164A19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A1838DD"/>
    <w:multiLevelType w:val="multilevel"/>
    <w:tmpl w:val="4DB8F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384BF2"/>
    <w:multiLevelType w:val="multilevel"/>
    <w:tmpl w:val="764CDBF6"/>
    <w:lvl w:ilvl="0">
      <w:start w:val="1"/>
      <w:numFmt w:val="lowerLetter"/>
      <w:lvlText w:val="%1."/>
      <w:lvlJc w:val="left"/>
      <w:pPr>
        <w:ind w:left="2073" w:hanging="360"/>
      </w:pPr>
      <w:rPr>
        <w:b/>
        <w:sz w:val="24"/>
        <w:szCs w:val="24"/>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5" w15:restartNumberingAfterBreak="0">
    <w:nsid w:val="55137EBA"/>
    <w:multiLevelType w:val="multilevel"/>
    <w:tmpl w:val="0C26897A"/>
    <w:lvl w:ilvl="0">
      <w:start w:val="1"/>
      <w:numFmt w:val="decimal"/>
      <w:lvlText w:val="%1."/>
      <w:lvlJc w:val="left"/>
      <w:pPr>
        <w:ind w:left="786"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FCF47B8"/>
    <w:multiLevelType w:val="multilevel"/>
    <w:tmpl w:val="50AEAC9E"/>
    <w:lvl w:ilvl="0">
      <w:start w:val="1"/>
      <w:numFmt w:val="lowerLetter"/>
      <w:lvlText w:val="%1."/>
      <w:lvlJc w:val="left"/>
      <w:pPr>
        <w:ind w:left="1080" w:hanging="360"/>
      </w:pPr>
      <w:rPr>
        <w:b/>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29A0C03"/>
    <w:multiLevelType w:val="hybridMultilevel"/>
    <w:tmpl w:val="24567156"/>
    <w:lvl w:ilvl="0" w:tplc="04190001">
      <w:start w:val="1"/>
      <w:numFmt w:val="bullet"/>
      <w:lvlText w:val=""/>
      <w:lvlJc w:val="left"/>
      <w:pPr>
        <w:ind w:left="1289" w:hanging="360"/>
      </w:pPr>
      <w:rPr>
        <w:rFonts w:ascii="Symbol" w:hAnsi="Symbol"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8" w15:restartNumberingAfterBreak="0">
    <w:nsid w:val="640A25ED"/>
    <w:multiLevelType w:val="multilevel"/>
    <w:tmpl w:val="5DE6DC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4B17528"/>
    <w:multiLevelType w:val="multilevel"/>
    <w:tmpl w:val="B4BABD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74A19BE"/>
    <w:multiLevelType w:val="multilevel"/>
    <w:tmpl w:val="905452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7A560B6E"/>
    <w:multiLevelType w:val="multilevel"/>
    <w:tmpl w:val="4B0EBA10"/>
    <w:lvl w:ilvl="0">
      <w:start w:val="1"/>
      <w:numFmt w:val="lowerLetter"/>
      <w:lvlText w:val="%1."/>
      <w:lvlJc w:val="left"/>
      <w:pPr>
        <w:ind w:left="1800" w:hanging="360"/>
      </w:pPr>
      <w:rPr>
        <w:b/>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8"/>
  </w:num>
  <w:num w:numId="2">
    <w:abstractNumId w:val="6"/>
  </w:num>
  <w:num w:numId="3">
    <w:abstractNumId w:val="4"/>
  </w:num>
  <w:num w:numId="4">
    <w:abstractNumId w:val="11"/>
  </w:num>
  <w:num w:numId="5">
    <w:abstractNumId w:val="1"/>
  </w:num>
  <w:num w:numId="6">
    <w:abstractNumId w:val="2"/>
  </w:num>
  <w:num w:numId="7">
    <w:abstractNumId w:val="10"/>
  </w:num>
  <w:num w:numId="8">
    <w:abstractNumId w:val="9"/>
  </w:num>
  <w:num w:numId="9">
    <w:abstractNumId w:val="0"/>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0C"/>
    <w:rsid w:val="00037213"/>
    <w:rsid w:val="002B5AF0"/>
    <w:rsid w:val="003007B5"/>
    <w:rsid w:val="003F01B3"/>
    <w:rsid w:val="005C4F44"/>
    <w:rsid w:val="008656A6"/>
    <w:rsid w:val="008F05A1"/>
    <w:rsid w:val="00947E0E"/>
    <w:rsid w:val="00A95946"/>
    <w:rsid w:val="00AD4CCC"/>
    <w:rsid w:val="00C9230C"/>
    <w:rsid w:val="00D7440C"/>
    <w:rsid w:val="00D91945"/>
    <w:rsid w:val="00D9255E"/>
    <w:rsid w:val="00D94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9F4C"/>
  <w15:chartTrackingRefBased/>
  <w15:docId w15:val="{6C8F3B8C-6F17-4A41-8411-7C5270AF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213"/>
    <w:rPr>
      <w:rFonts w:ascii="Calibri" w:eastAsia="Calibri" w:hAnsi="Calibri" w:cs="Calibri"/>
      <w:color w:val="00000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20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n.cam.ac.uk/univ/so/2018/chapter02-section19.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qa.eu/wp-content/uploads/2015/11/ESG_2015.pdf" TargetMode="External"/><Relationship Id="rId12" Type="http://schemas.openxmlformats.org/officeDocument/2006/relationships/hyperlink" Target="https://policies.mit.edu/policies-procedu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mit.edu/policies/10/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u.edu.kz/wp-content/uploads/2017/11/NU-Student-Code-of-Conduct.pdf" TargetMode="External"/><Relationship Id="rId4" Type="http://schemas.openxmlformats.org/officeDocument/2006/relationships/webSettings" Target="webSettings.xml"/><Relationship Id="rId9" Type="http://schemas.openxmlformats.org/officeDocument/2006/relationships/hyperlink" Target="http://www.admin.ox.ac.uk/statu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1270</Words>
  <Characters>9781</Characters>
  <Application>Microsoft Office Word</Application>
  <DocSecurity>0</DocSecurity>
  <Lines>208</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 Воронков</dc:creator>
  <cp:keywords/>
  <dc:description/>
  <cp:lastModifiedBy>Admin</cp:lastModifiedBy>
  <cp:revision>7</cp:revision>
  <dcterms:created xsi:type="dcterms:W3CDTF">2020-10-05T05:41:00Z</dcterms:created>
  <dcterms:modified xsi:type="dcterms:W3CDTF">2021-03-04T10:57:00Z</dcterms:modified>
</cp:coreProperties>
</file>